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小标宋_GBK" w:hAnsi="方正小标宋_GBK" w:eastAsia="方正小标宋_GBK" w:cs="方正小标宋_GBK"/>
          <w:b w:val="0"/>
          <w:i w:val="0"/>
          <w:caps w:val="0"/>
          <w:color w:val="auto"/>
          <w:spacing w:val="0"/>
          <w:sz w:val="44"/>
          <w:szCs w:val="44"/>
        </w:rPr>
      </w:pPr>
      <w:bookmarkStart w:id="0" w:name="bookmark35"/>
      <w:r>
        <w:rPr>
          <w:rFonts w:hint="eastAsia" w:ascii="方正小标宋_GBK" w:hAnsi="方正小标宋_GBK" w:eastAsia="方正小标宋_GBK" w:cs="方正小标宋_GBK"/>
          <w:b w:val="0"/>
          <w:i w:val="0"/>
          <w:caps w:val="0"/>
          <w:color w:val="auto"/>
          <w:spacing w:val="0"/>
          <w:sz w:val="44"/>
          <w:szCs w:val="44"/>
        </w:rPr>
        <w:t>宜春市国有资产监督管理委员会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小标宋_GBK" w:hAnsi="方正小标宋_GBK" w:eastAsia="方正小标宋_GBK" w:cs="方正小标宋_GBK"/>
          <w:b w:val="0"/>
          <w:i w:val="0"/>
          <w:caps w:val="0"/>
          <w:color w:val="auto"/>
          <w:spacing w:val="0"/>
          <w:sz w:val="44"/>
          <w:szCs w:val="44"/>
        </w:rPr>
      </w:pPr>
      <w:r>
        <w:rPr>
          <w:rFonts w:hint="eastAsia" w:ascii="方正小标宋_GBK" w:hAnsi="方正小标宋_GBK" w:eastAsia="方正小标宋_GBK" w:cs="方正小标宋_GBK"/>
          <w:b w:val="0"/>
          <w:i w:val="0"/>
          <w:caps w:val="0"/>
          <w:color w:val="auto"/>
          <w:spacing w:val="0"/>
          <w:sz w:val="44"/>
          <w:szCs w:val="44"/>
        </w:rPr>
        <w:t>202</w:t>
      </w:r>
      <w:r>
        <w:rPr>
          <w:rFonts w:hint="eastAsia" w:ascii="方正小标宋_GBK" w:hAnsi="方正小标宋_GBK" w:eastAsia="方正小标宋_GBK" w:cs="方正小标宋_GBK"/>
          <w:b w:val="0"/>
          <w:i w:val="0"/>
          <w:caps w:val="0"/>
          <w:color w:val="auto"/>
          <w:spacing w:val="0"/>
          <w:sz w:val="44"/>
          <w:szCs w:val="44"/>
          <w:lang w:val="en-US" w:eastAsia="zh-CN"/>
        </w:rPr>
        <w:t>2</w:t>
      </w:r>
      <w:r>
        <w:rPr>
          <w:rFonts w:hint="eastAsia" w:ascii="方正小标宋_GBK" w:hAnsi="方正小标宋_GBK" w:eastAsia="方正小标宋_GBK" w:cs="方正小标宋_GBK"/>
          <w:b w:val="0"/>
          <w:i w:val="0"/>
          <w:caps w:val="0"/>
          <w:color w:val="auto"/>
          <w:spacing w:val="0"/>
          <w:sz w:val="44"/>
          <w:szCs w:val="44"/>
        </w:rPr>
        <w:t>年政府信息公开工作年度报告</w:t>
      </w:r>
    </w:p>
    <w:p>
      <w:pPr>
        <w:pStyle w:val="14"/>
        <w:keepNext w:val="0"/>
        <w:keepLines w:val="0"/>
        <w:widowControl w:val="0"/>
        <w:shd w:val="clear" w:color="auto" w:fill="auto"/>
        <w:tabs>
          <w:tab w:val="left" w:pos="1230"/>
        </w:tabs>
        <w:bidi w:val="0"/>
        <w:spacing w:before="0" w:after="280" w:line="240" w:lineRule="auto"/>
        <w:ind w:left="0" w:right="0" w:firstLine="620"/>
        <w:jc w:val="left"/>
        <w:rPr>
          <w:color w:val="000000"/>
          <w:spacing w:val="0"/>
          <w:w w:val="100"/>
          <w:position w:val="0"/>
        </w:rPr>
      </w:pPr>
    </w:p>
    <w:bookmarkEnd w:id="0"/>
    <w:p>
      <w:pPr>
        <w:pStyle w:val="14"/>
        <w:keepNext w:val="0"/>
        <w:keepLines w:val="0"/>
        <w:pageBreakBefore w:val="0"/>
        <w:widowControl w:val="0"/>
        <w:shd w:val="clear" w:color="auto" w:fill="auto"/>
        <w:tabs>
          <w:tab w:val="left" w:pos="1230"/>
        </w:tabs>
        <w:kinsoku/>
        <w:wordWrap/>
        <w:overflowPunct/>
        <w:topLinePunct w:val="0"/>
        <w:autoSpaceDE/>
        <w:autoSpaceDN/>
        <w:bidi w:val="0"/>
        <w:adjustRightInd/>
        <w:snapToGrid/>
        <w:spacing w:before="0" w:after="0" w:line="600" w:lineRule="exact"/>
        <w:ind w:left="0" w:right="0" w:firstLine="62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宜春市国有资产监督管理委员会结合有关统计数据编制。本年度报告中所列数据的统计期限自202</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年1月1日起至</w:t>
      </w:r>
      <w:r>
        <w:rPr>
          <w:rFonts w:hint="eastAsia" w:ascii="仿宋_gb2312" w:hAnsi="仿宋_gb2312" w:eastAsia="仿宋_gb2312" w:cs="仿宋_gb2312"/>
          <w:i w:val="0"/>
          <w:caps w:val="0"/>
          <w:color w:val="000000"/>
          <w:spacing w:val="0"/>
          <w:sz w:val="32"/>
          <w:szCs w:val="32"/>
          <w:highlight w:val="none"/>
          <w:shd w:val="clear" w:fill="FFFFFF"/>
        </w:rPr>
        <w:t>202</w:t>
      </w:r>
      <w:r>
        <w:rPr>
          <w:rFonts w:hint="eastAsia" w:ascii="仿宋_gb2312" w:hAnsi="仿宋_gb2312" w:eastAsia="仿宋_gb2312" w:cs="仿宋_gb2312"/>
          <w:i w:val="0"/>
          <w:caps w:val="0"/>
          <w:color w:val="000000"/>
          <w:spacing w:val="0"/>
          <w:sz w:val="32"/>
          <w:szCs w:val="32"/>
          <w:highlight w:val="none"/>
          <w:shd w:val="clear" w:fill="FFFFFF"/>
          <w:lang w:val="en-US" w:eastAsia="zh-CN"/>
        </w:rPr>
        <w:t>2</w:t>
      </w:r>
      <w:r>
        <w:rPr>
          <w:rFonts w:hint="eastAsia" w:ascii="仿宋_gb2312" w:hAnsi="仿宋_gb2312" w:eastAsia="仿宋_gb2312" w:cs="仿宋_gb2312"/>
          <w:i w:val="0"/>
          <w:caps w:val="0"/>
          <w:color w:val="000000"/>
          <w:spacing w:val="0"/>
          <w:sz w:val="32"/>
          <w:szCs w:val="32"/>
          <w:highlight w:val="none"/>
          <w:shd w:val="clear" w:fill="FFFFFF"/>
        </w:rPr>
        <w:t>年12月31</w:t>
      </w:r>
      <w:r>
        <w:rPr>
          <w:rFonts w:hint="eastAsia" w:ascii="仿宋_gb2312" w:hAnsi="仿宋_gb2312" w:eastAsia="仿宋_gb2312" w:cs="仿宋_gb2312"/>
          <w:i w:val="0"/>
          <w:caps w:val="0"/>
          <w:color w:val="000000"/>
          <w:spacing w:val="0"/>
          <w:sz w:val="32"/>
          <w:szCs w:val="32"/>
          <w:shd w:val="clear" w:fill="FFFFFF"/>
        </w:rPr>
        <w:t>日止。全文包括总体情况、主动公开政府信息情况、收到和处理政府信息公开申请情况、政府信息公开行政复议行政诉讼情况、存在的主要问题及改进情况、其他需要报告的事项。本年度报告的电子版可以从宜春市国有资产监督管理委员会</w:t>
      </w:r>
      <w:r>
        <w:rPr>
          <w:rFonts w:hint="eastAsia" w:ascii="仿宋_gb2312" w:hAnsi="仿宋_gb2312" w:eastAsia="仿宋_gb2312" w:cs="仿宋_gb2312"/>
          <w:i w:val="0"/>
          <w:caps w:val="0"/>
          <w:color w:val="000000"/>
          <w:spacing w:val="0"/>
          <w:sz w:val="32"/>
          <w:szCs w:val="32"/>
          <w:shd w:val="clear" w:fill="FFFFFF"/>
          <w:lang w:eastAsia="zh-CN"/>
        </w:rPr>
        <w:t>网站</w:t>
      </w:r>
      <w:r>
        <w:rPr>
          <w:rFonts w:hint="eastAsia" w:ascii="仿宋_gb2312" w:hAnsi="仿宋_gb2312" w:eastAsia="仿宋_gb2312" w:cs="仿宋_gb2312"/>
          <w:i w:val="0"/>
          <w:caps w:val="0"/>
          <w:color w:val="000000"/>
          <w:spacing w:val="0"/>
          <w:sz w:val="32"/>
          <w:szCs w:val="32"/>
          <w:shd w:val="clear" w:fill="FFFFFF"/>
        </w:rPr>
        <w:t>（http://gzw.yichun.gov.cn/）下载。如对本报告有任何疑问，请与宜春市国有资产监督管理委员会秘书科联系（地址：宜春市市政大楼十楼1066室，电话：0795-3198889，邮编：336000）。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abs>
          <w:tab w:val="left" w:pos="599"/>
        </w:tabs>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bookmarkStart w:id="1" w:name="bookmark36"/>
      <w:r>
        <w:rPr>
          <w:rFonts w:hint="eastAsia" w:ascii="仿宋_gb2312" w:hAnsi="仿宋_gb2312" w:eastAsia="仿宋_gb2312" w:cs="仿宋_gb2312"/>
          <w:i w:val="0"/>
          <w:caps w:val="0"/>
          <w:color w:val="000000"/>
          <w:spacing w:val="0"/>
          <w:sz w:val="32"/>
          <w:szCs w:val="32"/>
          <w:shd w:val="clear" w:fill="FFFFFF"/>
        </w:rPr>
        <w:t>202</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年宜春市国有资产监督管理委员会认真贯彻落实《国务院办公厅印发〈关于全面推进政务公开工作的意见〉实施细则的通知》（国办发〔2016〕80号）和市政府202</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年政务公开工作要点，坚持“以公开为常态，不公开为例外”，积极推进政务公开标准化规范化建设，全面推进决策、执行、结果、管理和服务公开。202</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年共调整</w:t>
      </w:r>
      <w:r>
        <w:rPr>
          <w:rFonts w:hint="eastAsia" w:ascii="仿宋_gb2312" w:hAnsi="仿宋_gb2312" w:eastAsia="仿宋_gb2312" w:cs="仿宋_gb2312"/>
          <w:i w:val="0"/>
          <w:caps w:val="0"/>
          <w:color w:val="000000"/>
          <w:spacing w:val="0"/>
          <w:sz w:val="32"/>
          <w:szCs w:val="32"/>
          <w:highlight w:val="none"/>
          <w:shd w:val="clear" w:fill="FFFFFF"/>
        </w:rPr>
        <w:t>规范栏目设置</w:t>
      </w:r>
      <w:r>
        <w:rPr>
          <w:rFonts w:hint="default" w:ascii="仿宋_gb2312" w:hAnsi="仿宋_gb2312" w:eastAsia="仿宋_gb2312" w:cs="仿宋_gb2312"/>
          <w:i w:val="0"/>
          <w:caps w:val="0"/>
          <w:color w:val="000000"/>
          <w:spacing w:val="0"/>
          <w:sz w:val="32"/>
          <w:szCs w:val="32"/>
          <w:highlight w:val="none"/>
          <w:shd w:val="clear" w:fill="FFFFFF"/>
          <w:lang w:val="en-US"/>
        </w:rPr>
        <w:t>2</w:t>
      </w:r>
      <w:r>
        <w:rPr>
          <w:rFonts w:hint="eastAsia" w:ascii="仿宋_gb2312" w:hAnsi="仿宋_gb2312" w:eastAsia="仿宋_gb2312" w:cs="仿宋_gb2312"/>
          <w:i w:val="0"/>
          <w:caps w:val="0"/>
          <w:color w:val="000000"/>
          <w:spacing w:val="0"/>
          <w:sz w:val="32"/>
          <w:szCs w:val="32"/>
          <w:highlight w:val="none"/>
          <w:shd w:val="clear" w:fill="FFFFFF"/>
        </w:rPr>
        <w:t>个，发</w:t>
      </w:r>
      <w:r>
        <w:rPr>
          <w:rFonts w:hint="eastAsia" w:ascii="仿宋_gb2312" w:hAnsi="仿宋_gb2312" w:eastAsia="仿宋_gb2312" w:cs="仿宋_gb2312"/>
          <w:i w:val="0"/>
          <w:caps w:val="0"/>
          <w:color w:val="000000"/>
          <w:spacing w:val="0"/>
          <w:sz w:val="32"/>
          <w:szCs w:val="32"/>
          <w:shd w:val="clear" w:fill="FFFFFF"/>
        </w:rPr>
        <w:t>布政府信息公开内容</w:t>
      </w:r>
      <w:r>
        <w:rPr>
          <w:rFonts w:hint="eastAsia" w:ascii="仿宋_gb2312" w:hAnsi="仿宋_gb2312" w:eastAsia="仿宋_gb2312" w:cs="仿宋_gb2312"/>
          <w:i w:val="0"/>
          <w:caps w:val="0"/>
          <w:color w:val="000000"/>
          <w:spacing w:val="0"/>
          <w:sz w:val="32"/>
          <w:szCs w:val="32"/>
          <w:shd w:val="clear" w:fill="FFFFFF"/>
          <w:lang w:val="en-US" w:eastAsia="zh-CN"/>
        </w:rPr>
        <w:t>588</w:t>
      </w:r>
      <w:bookmarkStart w:id="6" w:name="_GoBack"/>
      <w:bookmarkEnd w:id="6"/>
      <w:r>
        <w:rPr>
          <w:rFonts w:hint="eastAsia" w:ascii="仿宋_gb2312" w:hAnsi="仿宋_gb2312" w:eastAsia="仿宋_gb2312" w:cs="仿宋_gb2312"/>
          <w:i w:val="0"/>
          <w:caps w:val="0"/>
          <w:color w:val="000000"/>
          <w:spacing w:val="0"/>
          <w:sz w:val="32"/>
          <w:szCs w:val="32"/>
          <w:shd w:val="clear" w:fill="FFFFFF"/>
        </w:rPr>
        <w:t>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shd w:val="clear" w:fill="FFFFFF"/>
        </w:rPr>
        <w:t>（一）主动公开情况。</w:t>
      </w:r>
      <w:r>
        <w:rPr>
          <w:rFonts w:hint="eastAsia" w:ascii="仿宋_gb2312" w:hAnsi="仿宋_gb2312" w:eastAsia="仿宋_gb2312" w:cs="仿宋_gb2312"/>
          <w:i w:val="0"/>
          <w:caps w:val="0"/>
          <w:color w:val="000000"/>
          <w:spacing w:val="0"/>
          <w:sz w:val="32"/>
          <w:szCs w:val="32"/>
          <w:shd w:val="clear" w:fill="FFFFFF"/>
        </w:rPr>
        <w:t>按照市政府办要求，我委在网站设置了政府信息公开专栏，开辟了政府信息公开指南、制度、内容、年报等子栏目，并将内容栏目细化为部门介绍、领导信息、公示公告、其他有关文件、政策文件、规划计划、财政资金、应急管理、决策部署落实、解读回应、国资信息公开等，并及时公开有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spacing w:val="0"/>
          <w:sz w:val="32"/>
          <w:szCs w:val="32"/>
        </w:rPr>
      </w:pPr>
      <w:r>
        <w:rPr>
          <w:rStyle w:val="8"/>
          <w:rFonts w:hint="eastAsia" w:ascii="仿宋_gb2312" w:hAnsi="仿宋_gb2312" w:eastAsia="仿宋_gb2312" w:cs="仿宋_gb2312"/>
          <w:i w:val="0"/>
          <w:caps w:val="0"/>
          <w:color w:val="000000"/>
          <w:spacing w:val="0"/>
          <w:sz w:val="32"/>
          <w:szCs w:val="32"/>
          <w:shd w:val="clear" w:fill="FFFFFF"/>
        </w:rPr>
        <w:t>（二）依申请公开。</w:t>
      </w:r>
      <w:r>
        <w:rPr>
          <w:rFonts w:hint="eastAsia" w:ascii="仿宋_gb2312" w:hAnsi="仿宋_gb2312" w:eastAsia="仿宋_gb2312" w:cs="仿宋_gb2312"/>
          <w:i w:val="0"/>
          <w:caps w:val="0"/>
          <w:color w:val="000000"/>
          <w:spacing w:val="0"/>
          <w:sz w:val="32"/>
          <w:szCs w:val="32"/>
          <w:shd w:val="clear" w:fill="FFFFFF"/>
        </w:rPr>
        <w:t>202</w:t>
      </w:r>
      <w:r>
        <w:rPr>
          <w:rFonts w:hint="eastAsia" w:ascii="仿宋_gb2312" w:hAnsi="仿宋_gb2312" w:eastAsia="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rPr>
        <w:t>年，我委未收到依申请公开申请。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spacing w:val="0"/>
          <w:sz w:val="32"/>
          <w:szCs w:val="32"/>
          <w:highlight w:val="none"/>
        </w:rPr>
      </w:pPr>
      <w:r>
        <w:rPr>
          <w:rStyle w:val="8"/>
          <w:rFonts w:hint="eastAsia" w:ascii="仿宋_gb2312" w:hAnsi="仿宋_gb2312" w:eastAsia="仿宋_gb2312" w:cs="仿宋_gb2312"/>
          <w:i w:val="0"/>
          <w:caps w:val="0"/>
          <w:color w:val="000000"/>
          <w:spacing w:val="0"/>
          <w:sz w:val="32"/>
          <w:szCs w:val="32"/>
          <w:shd w:val="clear" w:fill="FFFFFF"/>
        </w:rPr>
        <w:t>（三）政府信息管理。</w:t>
      </w:r>
      <w:r>
        <w:rPr>
          <w:rFonts w:hint="eastAsia" w:ascii="仿宋_gb2312" w:hAnsi="仿宋_gb2312" w:eastAsia="仿宋_gb2312" w:cs="仿宋_gb2312"/>
          <w:i w:val="0"/>
          <w:caps w:val="0"/>
          <w:color w:val="000000"/>
          <w:spacing w:val="0"/>
          <w:sz w:val="32"/>
          <w:szCs w:val="32"/>
          <w:shd w:val="clear" w:fill="FFFFFF"/>
        </w:rPr>
        <w:t>今年以来，我委重点加强了网站、微信公众号的建设、运营。完善信息管理制度，出台了网站、微信公众号管理办法（试行），对信息的审核、发布程序进行了明确。对网站进行了适当调整，并根据工作需要</w:t>
      </w:r>
      <w:r>
        <w:rPr>
          <w:rFonts w:hint="eastAsia" w:ascii="仿宋_gb2312" w:hAnsi="仿宋_gb2312" w:eastAsia="仿宋_gb2312" w:cs="仿宋_gb2312"/>
          <w:i w:val="0"/>
          <w:caps w:val="0"/>
          <w:color w:val="000000"/>
          <w:spacing w:val="0"/>
          <w:sz w:val="32"/>
          <w:szCs w:val="32"/>
          <w:highlight w:val="none"/>
          <w:shd w:val="clear" w:fill="FFFFFF"/>
        </w:rPr>
        <w:t>，调整精简了</w:t>
      </w:r>
      <w:r>
        <w:rPr>
          <w:rFonts w:hint="default" w:ascii="仿宋_gb2312" w:hAnsi="仿宋_gb2312" w:eastAsia="仿宋_gb2312" w:cs="仿宋_gb2312"/>
          <w:i w:val="0"/>
          <w:caps w:val="0"/>
          <w:color w:val="000000"/>
          <w:spacing w:val="0"/>
          <w:sz w:val="32"/>
          <w:szCs w:val="32"/>
          <w:highlight w:val="none"/>
          <w:shd w:val="clear" w:fill="FFFFFF"/>
          <w:lang w:val="en-US"/>
        </w:rPr>
        <w:t>2</w:t>
      </w:r>
      <w:r>
        <w:rPr>
          <w:rFonts w:hint="eastAsia" w:ascii="仿宋_gb2312" w:hAnsi="仿宋_gb2312" w:eastAsia="仿宋_gb2312" w:cs="仿宋_gb2312"/>
          <w:i w:val="0"/>
          <w:caps w:val="0"/>
          <w:color w:val="000000"/>
          <w:spacing w:val="0"/>
          <w:sz w:val="32"/>
          <w:szCs w:val="32"/>
          <w:highlight w:val="none"/>
          <w:shd w:val="clear" w:fill="FFFFFF"/>
        </w:rPr>
        <w:t>个子栏目。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caps w:val="0"/>
          <w:color w:val="000000"/>
          <w:spacing w:val="0"/>
          <w:sz w:val="32"/>
          <w:szCs w:val="32"/>
          <w:highlight w:val="yellow"/>
        </w:rPr>
      </w:pPr>
      <w:r>
        <w:rPr>
          <w:rStyle w:val="8"/>
          <w:rFonts w:hint="eastAsia" w:ascii="仿宋_gb2312" w:hAnsi="仿宋_gb2312" w:eastAsia="仿宋_gb2312" w:cs="仿宋_gb2312"/>
          <w:i w:val="0"/>
          <w:caps w:val="0"/>
          <w:color w:val="000000"/>
          <w:spacing w:val="0"/>
          <w:sz w:val="32"/>
          <w:szCs w:val="32"/>
          <w:shd w:val="clear" w:fill="FFFFFF"/>
        </w:rPr>
        <w:t>（四）互动回应情况。</w:t>
      </w:r>
      <w:r>
        <w:rPr>
          <w:rFonts w:hint="eastAsia" w:ascii="仿宋_gb2312" w:hAnsi="仿宋_gb2312" w:eastAsia="仿宋_gb2312" w:cs="仿宋_gb2312"/>
          <w:i w:val="0"/>
          <w:caps w:val="0"/>
          <w:color w:val="000000"/>
          <w:spacing w:val="0"/>
          <w:sz w:val="32"/>
          <w:szCs w:val="32"/>
          <w:highlight w:val="none"/>
          <w:shd w:val="clear" w:fill="FFFFFF"/>
        </w:rPr>
        <w:t>我委通过12345市长热线平台，增强了互动回应，一年来，我委共办理办结平台专办2条。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方正黑体_GBK" w:hAnsi="方正黑体_GBK" w:eastAsia="方正黑体_GBK" w:cs="方正黑体_GBK"/>
          <w:color w:val="000000"/>
          <w:spacing w:val="0"/>
          <w:w w:val="100"/>
          <w:position w:val="0"/>
        </w:rPr>
      </w:pPr>
      <w:r>
        <w:rPr>
          <w:rStyle w:val="8"/>
          <w:rFonts w:hint="eastAsia" w:ascii="仿宋_gb2312" w:hAnsi="仿宋_gb2312" w:eastAsia="仿宋_gb2312" w:cs="仿宋_gb2312"/>
          <w:i w:val="0"/>
          <w:caps w:val="0"/>
          <w:color w:val="000000"/>
          <w:spacing w:val="0"/>
          <w:sz w:val="32"/>
          <w:szCs w:val="32"/>
          <w:shd w:val="clear" w:fill="FFFFFF"/>
        </w:rPr>
        <w:t>（五）组织保障情况。</w:t>
      </w:r>
      <w:r>
        <w:rPr>
          <w:rFonts w:hint="eastAsia" w:ascii="仿宋_gb2312" w:hAnsi="仿宋_gb2312" w:eastAsia="仿宋_gb2312" w:cs="仿宋_gb2312"/>
          <w:i w:val="0"/>
          <w:caps w:val="0"/>
          <w:color w:val="000000"/>
          <w:spacing w:val="0"/>
          <w:sz w:val="32"/>
          <w:szCs w:val="32"/>
          <w:shd w:val="clear" w:fill="FFFFFF"/>
        </w:rPr>
        <w:t>我委调整了政务公开领导小组组成人员，制定出台了保密审查制度、政务公开工作要点，网站、微信公众号管理办法，全方位提升了政府信息公开工作的组织保障和制度建设。</w:t>
      </w:r>
    </w:p>
    <w:p>
      <w:pPr>
        <w:pStyle w:val="14"/>
        <w:keepNext w:val="0"/>
        <w:keepLines w:val="0"/>
        <w:pageBreakBefore w:val="0"/>
        <w:widowControl w:val="0"/>
        <w:shd w:val="clear" w:color="auto" w:fill="auto"/>
        <w:tabs>
          <w:tab w:val="left" w:pos="1230"/>
        </w:tabs>
        <w:kinsoku/>
        <w:wordWrap/>
        <w:overflowPunct/>
        <w:topLinePunct w:val="0"/>
        <w:autoSpaceDE/>
        <w:autoSpaceDN/>
        <w:bidi w:val="0"/>
        <w:adjustRightInd/>
        <w:snapToGrid/>
        <w:spacing w:before="0" w:after="0" w:line="240" w:lineRule="auto"/>
        <w:ind w:left="0" w:leftChars="0" w:right="0" w:firstLine="640" w:firstLineChars="200"/>
        <w:jc w:val="left"/>
        <w:textAlignment w:val="auto"/>
        <w:rPr>
          <w:rFonts w:hint="eastAsia" w:ascii="方正黑体_GBK" w:hAnsi="方正黑体_GBK" w:eastAsia="方正黑体_GBK" w:cs="方正黑体_GBK"/>
          <w:color w:val="000000"/>
          <w:spacing w:val="0"/>
          <w:w w:val="100"/>
          <w:position w:val="0"/>
          <w:sz w:val="32"/>
          <w:szCs w:val="32"/>
        </w:rPr>
      </w:pPr>
    </w:p>
    <w:p>
      <w:pPr>
        <w:pStyle w:val="14"/>
        <w:keepNext w:val="0"/>
        <w:keepLines w:val="0"/>
        <w:pageBreakBefore w:val="0"/>
        <w:widowControl w:val="0"/>
        <w:shd w:val="clear" w:color="auto" w:fill="auto"/>
        <w:tabs>
          <w:tab w:val="left" w:pos="1230"/>
        </w:tabs>
        <w:kinsoku/>
        <w:wordWrap/>
        <w:overflowPunct/>
        <w:topLinePunct w:val="0"/>
        <w:autoSpaceDE/>
        <w:autoSpaceDN/>
        <w:bidi w:val="0"/>
        <w:adjustRightInd/>
        <w:snapToGrid/>
        <w:spacing w:before="0" w:after="0" w:line="240" w:lineRule="auto"/>
        <w:ind w:left="0" w:leftChars="0" w:righ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color w:val="000000"/>
          <w:spacing w:val="0"/>
          <w:w w:val="100"/>
          <w:position w:val="0"/>
          <w:sz w:val="32"/>
          <w:szCs w:val="32"/>
        </w:rPr>
        <w:t>二</w:t>
      </w:r>
      <w:bookmarkEnd w:id="1"/>
      <w:r>
        <w:rPr>
          <w:rFonts w:hint="eastAsia" w:ascii="方正黑体_GBK" w:hAnsi="方正黑体_GBK" w:eastAsia="方正黑体_GBK" w:cs="方正黑体_GBK"/>
          <w:color w:val="000000"/>
          <w:spacing w:val="0"/>
          <w:w w:val="100"/>
          <w:position w:val="0"/>
          <w:sz w:val="32"/>
          <w:szCs w:val="32"/>
        </w:rPr>
        <w:t>、主动公开政府信息情况</w:t>
      </w:r>
    </w:p>
    <w:tbl>
      <w:tblPr>
        <w:tblStyle w:val="6"/>
        <w:tblW w:w="0" w:type="auto"/>
        <w:jc w:val="center"/>
        <w:tblLayout w:type="fixed"/>
        <w:tblCellMar>
          <w:top w:w="0" w:type="dxa"/>
          <w:left w:w="10" w:type="dxa"/>
          <w:bottom w:w="0" w:type="dxa"/>
          <w:right w:w="10" w:type="dxa"/>
        </w:tblCellMar>
      </w:tblPr>
      <w:tblGrid>
        <w:gridCol w:w="2326"/>
        <w:gridCol w:w="2326"/>
        <w:gridCol w:w="2304"/>
        <w:gridCol w:w="1937"/>
      </w:tblGrid>
      <w:tr>
        <w:tblPrEx>
          <w:tblCellMar>
            <w:top w:w="0" w:type="dxa"/>
            <w:left w:w="10" w:type="dxa"/>
            <w:bottom w:w="0" w:type="dxa"/>
            <w:right w:w="10" w:type="dxa"/>
          </w:tblCellMar>
        </w:tblPrEx>
        <w:trPr>
          <w:trHeight w:val="439" w:hRule="exact"/>
          <w:jc w:val="center"/>
        </w:trPr>
        <w:tc>
          <w:tcPr>
            <w:tcW w:w="8893" w:type="dxa"/>
            <w:gridSpan w:val="4"/>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第二</w:t>
            </w:r>
            <w:r>
              <w:rPr>
                <w:rFonts w:hint="eastAsia"/>
                <w:color w:val="000000"/>
                <w:spacing w:val="0"/>
                <w:w w:val="100"/>
                <w:position w:val="0"/>
                <w:sz w:val="21"/>
                <w:szCs w:val="21"/>
                <w:lang w:eastAsia="zh-CN"/>
              </w:rPr>
              <w:t>十</w:t>
            </w:r>
            <w:r>
              <w:rPr>
                <w:color w:val="000000"/>
                <w:spacing w:val="0"/>
                <w:w w:val="100"/>
                <w:position w:val="0"/>
                <w:sz w:val="21"/>
                <w:szCs w:val="21"/>
              </w:rPr>
              <w:t>条第（一）项</w:t>
            </w:r>
          </w:p>
        </w:tc>
      </w:tr>
      <w:tr>
        <w:tblPrEx>
          <w:tblCellMar>
            <w:top w:w="0" w:type="dxa"/>
            <w:left w:w="10" w:type="dxa"/>
            <w:bottom w:w="0" w:type="dxa"/>
            <w:right w:w="10" w:type="dxa"/>
          </w:tblCellMar>
        </w:tblPrEx>
        <w:trPr>
          <w:trHeight w:val="425"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信息内容</w:t>
            </w:r>
          </w:p>
        </w:tc>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本年制发件数</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本年废止件数</w:t>
            </w:r>
          </w:p>
        </w:tc>
        <w:tc>
          <w:tcPr>
            <w:tcW w:w="1937" w:type="dxa"/>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现行</w:t>
            </w:r>
            <w:r>
              <w:rPr>
                <w:rFonts w:hint="eastAsia"/>
                <w:color w:val="000000"/>
                <w:spacing w:val="0"/>
                <w:w w:val="100"/>
                <w:position w:val="0"/>
                <w:sz w:val="21"/>
                <w:szCs w:val="21"/>
                <w:lang w:eastAsia="zh-CN"/>
              </w:rPr>
              <w:t>有</w:t>
            </w:r>
            <w:r>
              <w:rPr>
                <w:color w:val="000000"/>
                <w:spacing w:val="0"/>
                <w:w w:val="100"/>
                <w:position w:val="0"/>
                <w:sz w:val="21"/>
                <w:szCs w:val="21"/>
              </w:rPr>
              <w:t>效件数</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规章</w:t>
            </w:r>
          </w:p>
        </w:tc>
        <w:tc>
          <w:tcPr>
            <w:tcW w:w="2326" w:type="dxa"/>
            <w:tcBorders>
              <w:top w:val="single" w:color="auto" w:sz="4" w:space="0"/>
              <w:lef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eastAsia" w:ascii="SimSun" w:hAnsi="SimSun" w:eastAsia="SimSun" w:cs="SimSun"/>
                <w:color w:val="000000"/>
                <w:spacing w:val="0"/>
                <w:w w:val="100"/>
                <w:position w:val="0"/>
                <w:sz w:val="21"/>
                <w:szCs w:val="21"/>
                <w:u w:val="none"/>
                <w:shd w:val="clear" w:color="auto" w:fill="auto"/>
                <w:lang w:val="en-US" w:eastAsia="zh-CN" w:bidi="zh-TW"/>
              </w:rPr>
              <w:t>0</w:t>
            </w:r>
          </w:p>
        </w:tc>
        <w:tc>
          <w:tcPr>
            <w:tcBorders>
              <w:top w:val="single" w:color="auto" w:sz="4" w:space="0"/>
              <w:lef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eastAsia" w:ascii="SimSun" w:hAnsi="SimSun" w:eastAsia="SimSun" w:cs="SimSun"/>
                <w:color w:val="000000"/>
                <w:spacing w:val="0"/>
                <w:w w:val="100"/>
                <w:position w:val="0"/>
                <w:sz w:val="21"/>
                <w:szCs w:val="21"/>
                <w:u w:val="none"/>
                <w:shd w:val="clear" w:color="auto" w:fill="auto"/>
                <w:lang w:val="en-US" w:eastAsia="zh-CN" w:bidi="zh-TW"/>
              </w:rPr>
              <w:t>0</w:t>
            </w:r>
          </w:p>
        </w:tc>
        <w:tc>
          <w:tcPr>
            <w:tcW w:w="1937" w:type="dxa"/>
            <w:tcBorders>
              <w:top w:val="single" w:color="auto" w:sz="4" w:space="0"/>
              <w:left w:val="single" w:color="auto" w:sz="4" w:space="0"/>
              <w:righ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eastAsia" w:ascii="SimSun" w:hAnsi="SimSun" w:eastAsia="SimSun" w:cs="SimSun"/>
                <w:color w:val="000000"/>
                <w:spacing w:val="0"/>
                <w:w w:val="100"/>
                <w:position w:val="0"/>
                <w:sz w:val="21"/>
                <w:szCs w:val="21"/>
                <w:u w:val="none"/>
                <w:shd w:val="clear" w:color="auto" w:fill="auto"/>
                <w:lang w:val="en-US" w:eastAsia="zh-CN" w:bidi="zh-TW"/>
              </w:rPr>
              <w:t>0</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行政规范性文件</w:t>
            </w:r>
          </w:p>
        </w:tc>
        <w:tc>
          <w:tcPr>
            <w:tcW w:w="2326" w:type="dxa"/>
            <w:tcBorders>
              <w:top w:val="single" w:color="auto" w:sz="4" w:space="0"/>
              <w:lef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eastAsia" w:ascii="SimSun" w:hAnsi="SimSun" w:eastAsia="SimSun" w:cs="SimSun"/>
                <w:color w:val="000000"/>
                <w:spacing w:val="0"/>
                <w:w w:val="100"/>
                <w:position w:val="0"/>
                <w:sz w:val="21"/>
                <w:szCs w:val="21"/>
                <w:u w:val="none"/>
                <w:shd w:val="clear" w:color="auto" w:fill="auto"/>
                <w:lang w:val="en-US" w:eastAsia="zh-CN" w:bidi="zh-TW"/>
              </w:rPr>
              <w:t>2</w:t>
            </w:r>
          </w:p>
        </w:tc>
        <w:tc>
          <w:tcPr>
            <w:tcBorders>
              <w:top w:val="single" w:color="auto" w:sz="4" w:space="0"/>
              <w:left w:val="single" w:color="auto" w:sz="4" w:space="0"/>
            </w:tcBorders>
            <w:shd w:val="clear" w:color="auto" w:fill="FFFFFF"/>
            <w:vAlign w:val="top"/>
          </w:tcPr>
          <w:p>
            <w:pPr>
              <w:widowControl w:val="0"/>
              <w:jc w:val="center"/>
              <w:rPr>
                <w:rFonts w:hint="eastAsia" w:ascii="SimSun" w:hAnsi="SimSun" w:eastAsia="SimSun" w:cs="SimSun"/>
                <w:color w:val="000000"/>
                <w:spacing w:val="0"/>
                <w:w w:val="100"/>
                <w:position w:val="0"/>
                <w:sz w:val="21"/>
                <w:szCs w:val="21"/>
                <w:u w:val="none"/>
                <w:shd w:val="clear" w:color="auto" w:fill="auto"/>
                <w:lang w:val="en-US" w:eastAsia="zh-CN" w:bidi="zh-TW"/>
              </w:rPr>
            </w:pPr>
            <w:r>
              <w:rPr>
                <w:rFonts w:hint="default" w:ascii="SimSun" w:hAnsi="SimSun" w:eastAsia="SimSun" w:cs="SimSun"/>
                <w:color w:val="000000"/>
                <w:spacing w:val="0"/>
                <w:w w:val="100"/>
                <w:position w:val="0"/>
                <w:sz w:val="21"/>
                <w:szCs w:val="21"/>
                <w:u w:val="none"/>
                <w:shd w:val="clear" w:color="auto" w:fill="auto"/>
                <w:lang w:val="en-US" w:eastAsia="zh-CN" w:bidi="zh-TW"/>
              </w:rPr>
              <w:t>0</w:t>
            </w:r>
          </w:p>
        </w:tc>
        <w:tc>
          <w:tcPr>
            <w:tcW w:w="1937" w:type="dxa"/>
            <w:tcBorders>
              <w:top w:val="single" w:color="auto" w:sz="4" w:space="0"/>
              <w:left w:val="single" w:color="auto" w:sz="4" w:space="0"/>
              <w:right w:val="single" w:color="auto" w:sz="4" w:space="0"/>
            </w:tcBorders>
            <w:shd w:val="clear" w:color="auto" w:fill="FFFFFF"/>
            <w:vAlign w:val="top"/>
          </w:tcPr>
          <w:p>
            <w:pPr>
              <w:widowControl w:val="0"/>
              <w:jc w:val="center"/>
              <w:rPr>
                <w:rFonts w:hint="default" w:ascii="SimSun" w:hAnsi="SimSun" w:eastAsia="SimSun" w:cs="SimSun"/>
                <w:color w:val="000000"/>
                <w:spacing w:val="0"/>
                <w:w w:val="100"/>
                <w:position w:val="0"/>
                <w:sz w:val="21"/>
                <w:szCs w:val="21"/>
                <w:u w:val="none"/>
                <w:shd w:val="clear" w:color="auto" w:fill="auto"/>
                <w:lang w:val="en-US" w:eastAsia="zh-CN" w:bidi="zh-TW"/>
              </w:rPr>
            </w:pPr>
            <w:r>
              <w:rPr>
                <w:rFonts w:hint="default" w:ascii="SimSun" w:hAnsi="SimSun" w:eastAsia="SimSun" w:cs="SimSun"/>
                <w:color w:val="000000"/>
                <w:spacing w:val="0"/>
                <w:w w:val="100"/>
                <w:position w:val="0"/>
                <w:sz w:val="21"/>
                <w:szCs w:val="21"/>
                <w:u w:val="none"/>
                <w:shd w:val="clear" w:color="auto" w:fill="auto"/>
                <w:lang w:val="en-US" w:eastAsia="zh-CN" w:bidi="zh-TW"/>
              </w:rPr>
              <w:t>40</w:t>
            </w:r>
          </w:p>
        </w:tc>
      </w:tr>
      <w:tr>
        <w:tblPrEx>
          <w:tblCellMar>
            <w:top w:w="0" w:type="dxa"/>
            <w:left w:w="10" w:type="dxa"/>
            <w:bottom w:w="0" w:type="dxa"/>
            <w:right w:w="10" w:type="dxa"/>
          </w:tblCellMar>
        </w:tblPrEx>
        <w:trPr>
          <w:trHeight w:val="425" w:hRule="exact"/>
          <w:jc w:val="center"/>
        </w:trPr>
        <w:tc>
          <w:tcPr>
            <w:tcW w:w="8893" w:type="dxa"/>
            <w:gridSpan w:val="4"/>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第二</w:t>
            </w:r>
            <w:r>
              <w:rPr>
                <w:rFonts w:hint="eastAsia"/>
                <w:color w:val="000000"/>
                <w:spacing w:val="0"/>
                <w:w w:val="100"/>
                <w:position w:val="0"/>
                <w:sz w:val="21"/>
                <w:szCs w:val="21"/>
                <w:lang w:eastAsia="zh-CN"/>
              </w:rPr>
              <w:t>十</w:t>
            </w:r>
            <w:r>
              <w:rPr>
                <w:color w:val="000000"/>
                <w:spacing w:val="0"/>
                <w:w w:val="100"/>
                <w:position w:val="0"/>
                <w:sz w:val="21"/>
                <w:szCs w:val="21"/>
              </w:rPr>
              <w:t>条第（五）项</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信息内容</w:t>
            </w:r>
          </w:p>
        </w:tc>
        <w:tc>
          <w:tcPr>
            <w:tcW w:w="6567" w:type="dxa"/>
            <w:gridSpan w:val="3"/>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本年处理决定数量</w:t>
            </w:r>
          </w:p>
        </w:tc>
      </w:tr>
      <w:tr>
        <w:tblPrEx>
          <w:tblCellMar>
            <w:top w:w="0" w:type="dxa"/>
            <w:left w:w="10" w:type="dxa"/>
            <w:bottom w:w="0" w:type="dxa"/>
            <w:right w:w="10" w:type="dxa"/>
          </w:tblCellMar>
        </w:tblPrEx>
        <w:trPr>
          <w:trHeight w:val="425"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行政许可</w:t>
            </w:r>
          </w:p>
        </w:tc>
        <w:tc>
          <w:tcPr>
            <w:tcW w:w="6567" w:type="dxa"/>
            <w:gridSpan w:val="3"/>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25" w:hRule="exact"/>
          <w:jc w:val="center"/>
        </w:trPr>
        <w:tc>
          <w:tcPr>
            <w:tcW w:w="8893" w:type="dxa"/>
            <w:gridSpan w:val="4"/>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第二十条第（六）项</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信息内容</w:t>
            </w:r>
          </w:p>
        </w:tc>
        <w:tc>
          <w:tcPr>
            <w:tcW w:w="6567" w:type="dxa"/>
            <w:gridSpan w:val="3"/>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本年处理决</w:t>
            </w:r>
            <w:r>
              <w:rPr>
                <w:rFonts w:hint="eastAsia"/>
                <w:color w:val="000000"/>
                <w:spacing w:val="0"/>
                <w:w w:val="100"/>
                <w:position w:val="0"/>
                <w:sz w:val="21"/>
                <w:szCs w:val="21"/>
                <w:lang w:val="zh-CN" w:eastAsia="zh-CN"/>
              </w:rPr>
              <w:t>定数量</w:t>
            </w:r>
          </w:p>
        </w:tc>
      </w:tr>
      <w:tr>
        <w:tblPrEx>
          <w:tblCellMar>
            <w:top w:w="0" w:type="dxa"/>
            <w:left w:w="10" w:type="dxa"/>
            <w:bottom w:w="0" w:type="dxa"/>
            <w:right w:w="10" w:type="dxa"/>
          </w:tblCellMar>
        </w:tblPrEx>
        <w:trPr>
          <w:trHeight w:val="425"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行政处罚</w:t>
            </w:r>
          </w:p>
        </w:tc>
        <w:tc>
          <w:tcPr>
            <w:tcW w:w="6567" w:type="dxa"/>
            <w:gridSpan w:val="3"/>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行政强制</w:t>
            </w:r>
          </w:p>
        </w:tc>
        <w:tc>
          <w:tcPr>
            <w:tcW w:w="6567" w:type="dxa"/>
            <w:gridSpan w:val="3"/>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18" w:hRule="exact"/>
          <w:jc w:val="center"/>
        </w:trPr>
        <w:tc>
          <w:tcPr>
            <w:tcW w:w="8893" w:type="dxa"/>
            <w:gridSpan w:val="4"/>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第二十条第（八）项</w:t>
            </w:r>
          </w:p>
        </w:tc>
      </w:tr>
      <w:tr>
        <w:tblPrEx>
          <w:tblCellMar>
            <w:top w:w="0" w:type="dxa"/>
            <w:left w:w="10" w:type="dxa"/>
            <w:bottom w:w="0" w:type="dxa"/>
            <w:right w:w="10" w:type="dxa"/>
          </w:tblCellMar>
        </w:tblPrEx>
        <w:trPr>
          <w:trHeight w:val="418" w:hRule="exact"/>
          <w:jc w:val="center"/>
        </w:trPr>
        <w:tc>
          <w:tcPr>
            <w:tcW w:w="232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信息内容</w:t>
            </w:r>
          </w:p>
        </w:tc>
        <w:tc>
          <w:tcPr>
            <w:tcW w:w="6567" w:type="dxa"/>
            <w:gridSpan w:val="3"/>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本年收费金额（单位：万元）</w:t>
            </w:r>
          </w:p>
        </w:tc>
      </w:tr>
      <w:tr>
        <w:tblPrEx>
          <w:tblCellMar>
            <w:top w:w="0" w:type="dxa"/>
            <w:left w:w="10" w:type="dxa"/>
            <w:bottom w:w="0" w:type="dxa"/>
            <w:right w:w="10" w:type="dxa"/>
          </w:tblCellMar>
        </w:tblPrEx>
        <w:trPr>
          <w:trHeight w:val="446" w:hRule="exact"/>
          <w:jc w:val="center"/>
        </w:trPr>
        <w:tc>
          <w:tcPr>
            <w:tcW w:w="2326" w:type="dxa"/>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行政事业性收费</w:t>
            </w:r>
          </w:p>
        </w:tc>
        <w:tc>
          <w:tcPr>
            <w:tcW w:w="6567" w:type="dxa"/>
            <w:gridSpan w:val="3"/>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bl>
    <w:p>
      <w:pPr>
        <w:widowControl w:val="0"/>
        <w:spacing w:after="279" w:line="1" w:lineRule="exact"/>
      </w:pPr>
    </w:p>
    <w:p>
      <w:pPr>
        <w:pStyle w:val="14"/>
        <w:keepNext w:val="0"/>
        <w:keepLines w:val="0"/>
        <w:widowControl w:val="0"/>
        <w:shd w:val="clear" w:color="auto" w:fill="auto"/>
        <w:bidi w:val="0"/>
        <w:spacing w:before="0" w:after="280" w:line="240" w:lineRule="auto"/>
        <w:ind w:left="0" w:leftChars="0" w:right="0" w:firstLine="640" w:firstLineChars="200"/>
        <w:jc w:val="left"/>
        <w:rPr>
          <w:rFonts w:hint="eastAsia" w:ascii="方正黑体_GBK" w:hAnsi="方正黑体_GBK" w:eastAsia="方正黑体_GBK" w:cs="方正黑体_GBK"/>
          <w:sz w:val="32"/>
          <w:szCs w:val="32"/>
        </w:rPr>
      </w:pPr>
      <w:bookmarkStart w:id="2" w:name="bookmark37"/>
      <w:r>
        <w:rPr>
          <w:rFonts w:hint="eastAsia" w:ascii="方正黑体_GBK" w:hAnsi="方正黑体_GBK" w:eastAsia="方正黑体_GBK" w:cs="方正黑体_GBK"/>
          <w:color w:val="000000"/>
          <w:spacing w:val="0"/>
          <w:w w:val="100"/>
          <w:position w:val="0"/>
          <w:sz w:val="32"/>
          <w:szCs w:val="32"/>
        </w:rPr>
        <w:t>三</w:t>
      </w:r>
      <w:bookmarkEnd w:id="2"/>
      <w:r>
        <w:rPr>
          <w:rFonts w:hint="eastAsia" w:ascii="方正黑体_GBK" w:hAnsi="方正黑体_GBK" w:eastAsia="方正黑体_GBK" w:cs="方正黑体_GBK"/>
          <w:color w:val="000000"/>
          <w:spacing w:val="0"/>
          <w:w w:val="100"/>
          <w:position w:val="0"/>
          <w:sz w:val="32"/>
          <w:szCs w:val="32"/>
        </w:rPr>
        <w:t>、收到和处理政府信息公开申请情况</w:t>
      </w:r>
    </w:p>
    <w:tbl>
      <w:tblPr>
        <w:tblStyle w:val="6"/>
        <w:tblW w:w="0" w:type="auto"/>
        <w:jc w:val="center"/>
        <w:tblLayout w:type="fixed"/>
        <w:tblCellMar>
          <w:top w:w="0" w:type="dxa"/>
          <w:left w:w="10" w:type="dxa"/>
          <w:bottom w:w="0" w:type="dxa"/>
          <w:right w:w="10" w:type="dxa"/>
        </w:tblCellMar>
      </w:tblPr>
      <w:tblGrid>
        <w:gridCol w:w="4226"/>
        <w:gridCol w:w="835"/>
        <w:gridCol w:w="634"/>
        <w:gridCol w:w="634"/>
        <w:gridCol w:w="626"/>
        <w:gridCol w:w="634"/>
        <w:gridCol w:w="626"/>
        <w:gridCol w:w="677"/>
      </w:tblGrid>
      <w:tr>
        <w:tblPrEx>
          <w:tblCellMar>
            <w:top w:w="0" w:type="dxa"/>
            <w:left w:w="10" w:type="dxa"/>
            <w:bottom w:w="0" w:type="dxa"/>
            <w:right w:w="10" w:type="dxa"/>
          </w:tblCellMar>
        </w:tblPrEx>
        <w:trPr>
          <w:trHeight w:val="425"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2" w:lineRule="exact"/>
              <w:ind w:left="0" w:right="0" w:firstLine="0"/>
              <w:jc w:val="left"/>
              <w:rPr>
                <w:sz w:val="21"/>
                <w:szCs w:val="21"/>
              </w:rPr>
            </w:pPr>
            <w:r>
              <w:rPr>
                <w:color w:val="000000"/>
                <w:spacing w:val="0"/>
                <w:w w:val="100"/>
                <w:position w:val="0"/>
                <w:sz w:val="21"/>
                <w:szCs w:val="21"/>
              </w:rPr>
              <w:t>（本列数据的勾稽关系为：第一项加第二项之和</w:t>
            </w:r>
            <w:r>
              <w:rPr>
                <w:rFonts w:hint="eastAsia"/>
                <w:color w:val="000000"/>
                <w:spacing w:val="0"/>
                <w:w w:val="100"/>
                <w:position w:val="0"/>
                <w:sz w:val="21"/>
                <w:szCs w:val="21"/>
                <w:lang w:eastAsia="zh-CN"/>
              </w:rPr>
              <w:t>，</w:t>
            </w:r>
            <w:r>
              <w:rPr>
                <w:color w:val="000000"/>
                <w:spacing w:val="0"/>
                <w:w w:val="100"/>
                <w:position w:val="0"/>
                <w:sz w:val="21"/>
                <w:szCs w:val="21"/>
              </w:rPr>
              <w:t>等于第三项加第四项之和）</w:t>
            </w:r>
          </w:p>
        </w:tc>
        <w:tc>
          <w:tcPr>
            <w:gridSpan w:val="7"/>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申请人情况</w:t>
            </w: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pPr>
              <w:rPr>
                <w:sz w:val="21"/>
                <w:szCs w:val="21"/>
              </w:rPr>
            </w:pP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自然人</w:t>
            </w:r>
          </w:p>
        </w:tc>
        <w:tc>
          <w:tcPr>
            <w:gridSpan w:val="5"/>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法人或其他组织</w:t>
            </w:r>
          </w:p>
        </w:tc>
        <w:tc>
          <w:tcPr>
            <w:vMerge w:val="restart"/>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总计</w:t>
            </w: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vAlign w:val="center"/>
          </w:tcPr>
          <w:p>
            <w:pPr>
              <w:rPr>
                <w:sz w:val="21"/>
                <w:szCs w:val="21"/>
              </w:rPr>
            </w:pPr>
          </w:p>
        </w:tc>
        <w:tc>
          <w:tcPr>
            <w:vMerge w:val="continue"/>
            <w:tcBorders>
              <w:left w:val="single" w:color="auto" w:sz="4" w:space="0"/>
            </w:tcBorders>
            <w:shd w:val="clear" w:color="auto" w:fill="FFFFFF"/>
            <w:vAlign w:val="center"/>
          </w:tcPr>
          <w:p>
            <w:pPr>
              <w:rPr>
                <w:sz w:val="21"/>
                <w:szCs w:val="21"/>
              </w:rPr>
            </w:pP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商业 企业</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66" w:lineRule="exact"/>
              <w:ind w:left="0" w:right="0" w:firstLine="0"/>
              <w:jc w:val="center"/>
              <w:rPr>
                <w:sz w:val="21"/>
                <w:szCs w:val="21"/>
              </w:rPr>
            </w:pPr>
            <w:r>
              <w:rPr>
                <w:color w:val="000000"/>
                <w:spacing w:val="0"/>
                <w:w w:val="100"/>
                <w:position w:val="0"/>
                <w:sz w:val="21"/>
                <w:szCs w:val="21"/>
              </w:rPr>
              <w:t>科研 机构</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56" w:lineRule="exact"/>
              <w:ind w:left="0" w:right="0" w:firstLine="0"/>
              <w:jc w:val="center"/>
              <w:rPr>
                <w:sz w:val="21"/>
                <w:szCs w:val="21"/>
              </w:rPr>
            </w:pPr>
            <w:r>
              <w:rPr>
                <w:color w:val="000000"/>
                <w:spacing w:val="0"/>
                <w:w w:val="100"/>
                <w:position w:val="0"/>
                <w:sz w:val="21"/>
                <w:szCs w:val="21"/>
              </w:rPr>
              <w:t>社会 公益 组织</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63" w:lineRule="exact"/>
              <w:ind w:left="0" w:right="0" w:firstLine="0"/>
              <w:jc w:val="center"/>
              <w:rPr>
                <w:sz w:val="21"/>
                <w:szCs w:val="21"/>
              </w:rPr>
            </w:pPr>
            <w:r>
              <w:rPr>
                <w:color w:val="000000"/>
                <w:spacing w:val="0"/>
                <w:w w:val="100"/>
                <w:position w:val="0"/>
                <w:sz w:val="21"/>
                <w:szCs w:val="21"/>
              </w:rPr>
              <w:t>法律 服务 机构</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其他</w:t>
            </w:r>
          </w:p>
        </w:tc>
        <w:tc>
          <w:tcPr>
            <w:vMerge w:val="continue"/>
            <w:tcBorders>
              <w:left w:val="single" w:color="auto" w:sz="4" w:space="0"/>
              <w:right w:val="single" w:color="auto" w:sz="4" w:space="0"/>
            </w:tcBorders>
            <w:shd w:val="clear" w:color="auto" w:fill="FFFFFF"/>
            <w:vAlign w:val="center"/>
          </w:tcPr>
          <w:p>
            <w:pPr>
              <w:rPr>
                <w:sz w:val="21"/>
                <w:szCs w:val="21"/>
              </w:rPr>
            </w:pP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bottom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一、本年新收政府信息公开申请数量</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bl>
    <w:p>
      <w:pPr>
        <w:spacing w:line="1" w:lineRule="exact"/>
        <w:rPr>
          <w:sz w:val="21"/>
          <w:szCs w:val="21"/>
        </w:rPr>
      </w:pPr>
      <w:r>
        <w:rPr>
          <w:sz w:val="21"/>
          <w:szCs w:val="21"/>
        </w:rPr>
        <w:br w:type="page"/>
      </w:r>
    </w:p>
    <w:tbl>
      <w:tblPr>
        <w:tblStyle w:val="6"/>
        <w:tblW w:w="0" w:type="auto"/>
        <w:jc w:val="center"/>
        <w:tblLayout w:type="fixed"/>
        <w:tblCellMar>
          <w:top w:w="0" w:type="dxa"/>
          <w:left w:w="10" w:type="dxa"/>
          <w:bottom w:w="0" w:type="dxa"/>
          <w:right w:w="10" w:type="dxa"/>
        </w:tblCellMar>
      </w:tblPr>
      <w:tblGrid>
        <w:gridCol w:w="1058"/>
        <w:gridCol w:w="943"/>
        <w:gridCol w:w="2307"/>
        <w:gridCol w:w="717"/>
        <w:gridCol w:w="619"/>
        <w:gridCol w:w="641"/>
        <w:gridCol w:w="634"/>
        <w:gridCol w:w="626"/>
        <w:gridCol w:w="634"/>
        <w:gridCol w:w="684"/>
      </w:tblGrid>
      <w:tr>
        <w:tblPrEx>
          <w:tblCellMar>
            <w:top w:w="0" w:type="dxa"/>
            <w:left w:w="10" w:type="dxa"/>
            <w:bottom w:w="0" w:type="dxa"/>
            <w:right w:w="10" w:type="dxa"/>
          </w:tblCellMar>
        </w:tblPrEx>
        <w:trPr>
          <w:trHeight w:val="407" w:hRule="exact"/>
          <w:jc w:val="center"/>
        </w:trPr>
        <w:tc>
          <w:tcPr>
            <w:tcW w:w="4308" w:type="dxa"/>
            <w:gridSpan w:val="3"/>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160"/>
              <w:jc w:val="left"/>
              <w:rPr>
                <w:sz w:val="21"/>
                <w:szCs w:val="21"/>
              </w:rPr>
            </w:pPr>
            <w:r>
              <w:rPr>
                <w:rFonts w:hint="eastAsia"/>
                <w:color w:val="000000"/>
                <w:spacing w:val="0"/>
                <w:w w:val="100"/>
                <w:position w:val="0"/>
                <w:sz w:val="21"/>
                <w:szCs w:val="21"/>
                <w:lang w:eastAsia="zh-CN"/>
              </w:rPr>
              <w:t>二</w:t>
            </w:r>
            <w:r>
              <w:rPr>
                <w:color w:val="000000"/>
                <w:spacing w:val="0"/>
                <w:w w:val="100"/>
                <w:position w:val="0"/>
                <w:sz w:val="21"/>
                <w:szCs w:val="21"/>
              </w:rPr>
              <w:t>、上年结转政府信息公开申请数信</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25"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left"/>
              <w:rPr>
                <w:sz w:val="21"/>
                <w:szCs w:val="21"/>
              </w:rPr>
            </w:pPr>
            <w:r>
              <w:rPr>
                <w:color w:val="8D7A80"/>
                <w:spacing w:val="0"/>
                <w:w w:val="100"/>
                <w:position w:val="0"/>
                <w:sz w:val="21"/>
                <w:szCs w:val="21"/>
              </w:rPr>
              <w:t>三、</w:t>
            </w:r>
            <w:r>
              <w:rPr>
                <w:rFonts w:hint="eastAsia"/>
                <w:color w:val="8D7A80"/>
                <w:spacing w:val="0"/>
                <w:w w:val="100"/>
                <w:position w:val="0"/>
                <w:sz w:val="21"/>
                <w:szCs w:val="21"/>
                <w:lang w:eastAsia="zh-CN"/>
              </w:rPr>
              <w:t>本</w:t>
            </w:r>
            <w:r>
              <w:rPr>
                <w:color w:val="000000"/>
                <w:spacing w:val="0"/>
                <w:w w:val="100"/>
                <w:position w:val="0"/>
                <w:sz w:val="21"/>
                <w:szCs w:val="21"/>
              </w:rPr>
              <w:t>年度 办理结果</w:t>
            </w:r>
          </w:p>
        </w:tc>
        <w:tc>
          <w:tcPr>
            <w:tcW w:w="3250" w:type="dxa"/>
            <w:gridSpan w:val="2"/>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（一）予以公开</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26" w:hRule="exact"/>
          <w:jc w:val="center"/>
        </w:trPr>
        <w:tc>
          <w:tcPr>
            <w:vMerge w:val="continue"/>
            <w:tcBorders>
              <w:left w:val="single" w:color="auto" w:sz="4" w:space="0"/>
            </w:tcBorders>
            <w:shd w:val="clear" w:color="auto" w:fill="FFFFFF"/>
            <w:vAlign w:val="center"/>
          </w:tcPr>
          <w:p>
            <w:pPr>
              <w:rPr>
                <w:sz w:val="21"/>
                <w:szCs w:val="21"/>
              </w:rPr>
            </w:pPr>
          </w:p>
        </w:tc>
        <w:tc>
          <w:tcPr>
            <w:tcW w:w="3250" w:type="dxa"/>
            <w:gridSpan w:val="2"/>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59" w:lineRule="exact"/>
              <w:ind w:left="0" w:right="0" w:firstLine="0"/>
              <w:jc w:val="left"/>
              <w:rPr>
                <w:sz w:val="21"/>
                <w:szCs w:val="21"/>
              </w:rPr>
            </w:pPr>
            <w:r>
              <w:rPr>
                <w:color w:val="000000"/>
                <w:spacing w:val="0"/>
                <w:w w:val="100"/>
                <w:position w:val="0"/>
                <w:sz w:val="21"/>
                <w:szCs w:val="21"/>
              </w:rPr>
              <w:t>（二）部分公开（区分处理的.只计这一情形</w:t>
            </w:r>
            <w:r>
              <w:rPr>
                <w:rFonts w:hint="eastAsia"/>
                <w:color w:val="000000"/>
                <w:spacing w:val="0"/>
                <w:w w:val="100"/>
                <w:position w:val="0"/>
                <w:sz w:val="21"/>
                <w:szCs w:val="21"/>
                <w:lang w:eastAsia="zh-CN"/>
              </w:rPr>
              <w:t>，</w:t>
            </w:r>
            <w:r>
              <w:rPr>
                <w:color w:val="000000"/>
                <w:spacing w:val="0"/>
                <w:w w:val="100"/>
                <w:position w:val="0"/>
                <w:sz w:val="21"/>
                <w:szCs w:val="21"/>
              </w:rPr>
              <w:t>不计其他情形）</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25"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66" w:lineRule="exact"/>
              <w:ind w:left="0" w:right="0" w:firstLine="0"/>
              <w:jc w:val="left"/>
              <w:rPr>
                <w:sz w:val="21"/>
                <w:szCs w:val="21"/>
              </w:rPr>
            </w:pPr>
            <w:r>
              <w:rPr>
                <w:color w:val="000000"/>
                <w:spacing w:val="0"/>
                <w:w w:val="100"/>
                <w:position w:val="0"/>
                <w:sz w:val="21"/>
                <w:szCs w:val="21"/>
              </w:rPr>
              <w:t>（三）不予 公开</w:t>
            </w: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21"/>
                <w:szCs w:val="21"/>
              </w:rPr>
            </w:pPr>
            <w:r>
              <w:rPr>
                <w:rFonts w:ascii="Times New Roman" w:hAnsi="Times New Roman" w:eastAsia="Times New Roman" w:cs="Times New Roman"/>
                <w:color w:val="000000"/>
                <w:spacing w:val="0"/>
                <w:w w:val="100"/>
                <w:position w:val="0"/>
                <w:sz w:val="21"/>
                <w:szCs w:val="21"/>
                <w:lang w:val="en-US" w:eastAsia="en-US" w:bidi="en-US"/>
              </w:rPr>
              <w:t>1.</w:t>
            </w:r>
            <w:r>
              <w:rPr>
                <w:color w:val="000000"/>
                <w:spacing w:val="0"/>
                <w:w w:val="100"/>
                <w:position w:val="0"/>
                <w:sz w:val="21"/>
                <w:szCs w:val="21"/>
              </w:rPr>
              <w:t>属于国家秘密</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26"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81"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2.</w:t>
            </w:r>
            <w:r>
              <w:rPr>
                <w:color w:val="000000"/>
                <w:spacing w:val="0"/>
                <w:w w:val="100"/>
                <w:position w:val="0"/>
                <w:sz w:val="21"/>
                <w:szCs w:val="21"/>
              </w:rPr>
              <w:t>其他法律行政法规禁止公开</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508"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rPr>
              <w:t>3</w:t>
            </w:r>
            <w:r>
              <w:rPr>
                <w:color w:val="000000"/>
                <w:spacing w:val="0"/>
                <w:w w:val="100"/>
                <w:position w:val="0"/>
                <w:sz w:val="21"/>
                <w:szCs w:val="21"/>
              </w:rPr>
              <w:t>.</w:t>
            </w:r>
            <w:r>
              <w:rPr>
                <w:rFonts w:hint="eastAsia"/>
                <w:color w:val="000000"/>
                <w:spacing w:val="0"/>
                <w:w w:val="100"/>
                <w:position w:val="0"/>
                <w:sz w:val="21"/>
                <w:szCs w:val="21"/>
                <w:lang w:eastAsia="zh-CN"/>
              </w:rPr>
              <w:t>危及“</w:t>
            </w:r>
            <w:r>
              <w:rPr>
                <w:color w:val="000000"/>
                <w:spacing w:val="0"/>
                <w:w w:val="100"/>
                <w:position w:val="0"/>
                <w:sz w:val="21"/>
                <w:szCs w:val="21"/>
              </w:rPr>
              <w:t>三安全一稳定”</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523"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rPr>
              <w:t>4</w:t>
            </w:r>
            <w:r>
              <w:rPr>
                <w:color w:val="000000"/>
                <w:spacing w:val="0"/>
                <w:w w:val="100"/>
                <w:position w:val="0"/>
                <w:sz w:val="21"/>
                <w:szCs w:val="21"/>
              </w:rPr>
              <w:t>.保护第三方合法权益</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bottom"/>
          </w:tcPr>
          <w:p>
            <w:pPr>
              <w:pStyle w:val="24"/>
              <w:keepNext w:val="0"/>
              <w:keepLines w:val="0"/>
              <w:widowControl w:val="0"/>
              <w:numPr>
                <w:ilvl w:val="0"/>
                <w:numId w:val="0"/>
              </w:numPr>
              <w:shd w:val="clear" w:color="auto" w:fill="auto"/>
              <w:bidi w:val="0"/>
              <w:spacing w:before="0" w:after="0" w:line="274" w:lineRule="exact"/>
              <w:ind w:leftChars="0" w:right="0" w:rightChars="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5.</w:t>
            </w:r>
            <w:r>
              <w:rPr>
                <w:color w:val="000000"/>
                <w:spacing w:val="0"/>
                <w:w w:val="100"/>
                <w:position w:val="0"/>
                <w:sz w:val="21"/>
                <w:szCs w:val="21"/>
              </w:rPr>
              <w:t>属于三类内部事务信息</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590"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rPr>
              <w:t>6</w:t>
            </w:r>
            <w:r>
              <w:rPr>
                <w:color w:val="000000"/>
                <w:spacing w:val="0"/>
                <w:w w:val="100"/>
                <w:position w:val="0"/>
                <w:sz w:val="21"/>
                <w:szCs w:val="21"/>
              </w:rPr>
              <w:t>.属于四类过程性信息</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18"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7.</w:t>
            </w:r>
            <w:r>
              <w:rPr>
                <w:color w:val="000000"/>
                <w:spacing w:val="0"/>
                <w:w w:val="100"/>
                <w:position w:val="0"/>
                <w:sz w:val="21"/>
                <w:szCs w:val="21"/>
              </w:rPr>
              <w:t>属</w:t>
            </w:r>
            <w:r>
              <w:rPr>
                <w:rFonts w:hint="eastAsia"/>
                <w:color w:val="000000"/>
                <w:spacing w:val="0"/>
                <w:w w:val="100"/>
                <w:position w:val="0"/>
                <w:sz w:val="21"/>
                <w:szCs w:val="21"/>
                <w:lang w:eastAsia="zh-CN"/>
              </w:rPr>
              <w:t>于</w:t>
            </w:r>
            <w:r>
              <w:rPr>
                <w:color w:val="000000"/>
                <w:spacing w:val="0"/>
                <w:w w:val="100"/>
                <w:position w:val="0"/>
                <w:sz w:val="21"/>
                <w:szCs w:val="21"/>
              </w:rPr>
              <w:t>行政执法案卷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25"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rFonts w:hint="eastAsia" w:eastAsia="SimSun"/>
                <w:sz w:val="21"/>
                <w:szCs w:val="21"/>
                <w:lang w:eastAsia="zh-CN"/>
              </w:rPr>
            </w:pPr>
            <w:r>
              <w:rPr>
                <w:rFonts w:ascii="Times New Roman" w:hAnsi="Times New Roman" w:eastAsia="Times New Roman" w:cs="Times New Roman"/>
                <w:color w:val="000000"/>
                <w:spacing w:val="0"/>
                <w:w w:val="100"/>
                <w:position w:val="0"/>
                <w:sz w:val="21"/>
                <w:szCs w:val="21"/>
                <w:lang w:val="en-US" w:eastAsia="en-US" w:bidi="en-US"/>
              </w:rPr>
              <w:t>8.</w:t>
            </w:r>
            <w:r>
              <w:rPr>
                <w:color w:val="000000"/>
                <w:spacing w:val="0"/>
                <w:w w:val="100"/>
                <w:position w:val="0"/>
                <w:sz w:val="21"/>
                <w:szCs w:val="21"/>
              </w:rPr>
              <w:t>属于行政</w:t>
            </w:r>
            <w:r>
              <w:rPr>
                <w:rFonts w:hint="eastAsia"/>
                <w:color w:val="000000"/>
                <w:spacing w:val="0"/>
                <w:w w:val="100"/>
                <w:position w:val="0"/>
                <w:sz w:val="21"/>
                <w:szCs w:val="21"/>
                <w:lang w:eastAsia="zh-CN"/>
              </w:rPr>
              <w:t>查</w:t>
            </w:r>
            <w:r>
              <w:rPr>
                <w:color w:val="000000"/>
                <w:spacing w:val="0"/>
                <w:w w:val="100"/>
                <w:position w:val="0"/>
                <w:sz w:val="21"/>
                <w:szCs w:val="21"/>
              </w:rPr>
              <w:t>询</w:t>
            </w:r>
            <w:r>
              <w:rPr>
                <w:rFonts w:hint="eastAsia"/>
                <w:color w:val="000000"/>
                <w:spacing w:val="0"/>
                <w:w w:val="100"/>
                <w:position w:val="0"/>
                <w:sz w:val="21"/>
                <w:szCs w:val="21"/>
                <w:lang w:eastAsia="zh-CN"/>
              </w:rPr>
              <w:t>事项</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26"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74" w:lineRule="exact"/>
              <w:ind w:left="0" w:right="0" w:firstLine="0"/>
              <w:jc w:val="left"/>
              <w:rPr>
                <w:sz w:val="21"/>
                <w:szCs w:val="21"/>
              </w:rPr>
            </w:pPr>
            <w:r>
              <w:rPr>
                <w:color w:val="000000"/>
                <w:spacing w:val="0"/>
                <w:w w:val="100"/>
                <w:position w:val="0"/>
                <w:sz w:val="21"/>
                <w:szCs w:val="21"/>
              </w:rPr>
              <w:t>（四）无法 提供</w:t>
            </w: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66"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1.</w:t>
            </w:r>
            <w:r>
              <w:rPr>
                <w:color w:val="000000"/>
                <w:spacing w:val="0"/>
                <w:w w:val="100"/>
                <w:position w:val="0"/>
                <w:sz w:val="21"/>
                <w:szCs w:val="21"/>
              </w:rPr>
              <w:t>本机关不掌握相关政府信息</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bottom"/>
          </w:tcPr>
          <w:p>
            <w:pPr>
              <w:pStyle w:val="24"/>
              <w:keepNext w:val="0"/>
              <w:keepLines w:val="0"/>
              <w:widowControl w:val="0"/>
              <w:shd w:val="clear" w:color="auto" w:fill="auto"/>
              <w:bidi w:val="0"/>
              <w:spacing w:before="0" w:after="0" w:line="281"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2.</w:t>
            </w:r>
            <w:r>
              <w:rPr>
                <w:color w:val="000000"/>
                <w:spacing w:val="0"/>
                <w:w w:val="100"/>
                <w:position w:val="0"/>
                <w:sz w:val="21"/>
                <w:szCs w:val="21"/>
              </w:rPr>
              <w:t>没有现成信息需</w:t>
            </w:r>
            <w:r>
              <w:rPr>
                <w:rFonts w:hint="eastAsia"/>
                <w:color w:val="000000"/>
                <w:spacing w:val="0"/>
                <w:w w:val="100"/>
                <w:position w:val="0"/>
                <w:sz w:val="21"/>
                <w:szCs w:val="21"/>
                <w:lang w:eastAsia="zh-CN"/>
              </w:rPr>
              <w:t>要另</w:t>
            </w:r>
            <w:r>
              <w:rPr>
                <w:color w:val="000000"/>
                <w:spacing w:val="0"/>
                <w:w w:val="100"/>
                <w:position w:val="0"/>
                <w:sz w:val="21"/>
                <w:szCs w:val="21"/>
              </w:rPr>
              <w:t>行制作</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bottom"/>
          </w:tcPr>
          <w:p>
            <w:pPr>
              <w:pStyle w:val="24"/>
              <w:keepNext w:val="0"/>
              <w:keepLines w:val="0"/>
              <w:widowControl w:val="0"/>
              <w:numPr>
                <w:ilvl w:val="0"/>
                <w:numId w:val="1"/>
              </w:numPr>
              <w:shd w:val="clear" w:color="auto" w:fill="auto"/>
              <w:bidi w:val="0"/>
              <w:spacing w:before="0" w:after="0" w:line="266" w:lineRule="exact"/>
              <w:ind w:left="0" w:right="0" w:firstLine="0"/>
              <w:jc w:val="both"/>
              <w:rPr>
                <w:sz w:val="21"/>
                <w:szCs w:val="21"/>
              </w:rPr>
            </w:pPr>
            <w:r>
              <w:rPr>
                <w:color w:val="000000"/>
                <w:spacing w:val="0"/>
                <w:w w:val="100"/>
                <w:position w:val="0"/>
                <w:sz w:val="21"/>
                <w:szCs w:val="21"/>
              </w:rPr>
              <w:t>补正后申</w:t>
            </w:r>
            <w:r>
              <w:rPr>
                <w:color w:val="000000"/>
                <w:spacing w:val="0"/>
                <w:w w:val="100"/>
                <w:position w:val="0"/>
                <w:sz w:val="21"/>
                <w:szCs w:val="21"/>
                <w:lang w:val="en-US"/>
              </w:rPr>
              <w:t>请</w:t>
            </w:r>
            <w:r>
              <w:rPr>
                <w:color w:val="000000"/>
                <w:spacing w:val="0"/>
                <w:w w:val="100"/>
                <w:position w:val="0"/>
                <w:sz w:val="21"/>
                <w:szCs w:val="21"/>
              </w:rPr>
              <w:t>内容仍不明确</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374"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66" w:lineRule="exact"/>
              <w:ind w:left="0" w:right="0" w:firstLine="0"/>
              <w:jc w:val="left"/>
              <w:rPr>
                <w:sz w:val="21"/>
                <w:szCs w:val="21"/>
              </w:rPr>
            </w:pPr>
            <w:r>
              <w:rPr>
                <w:color w:val="000000"/>
                <w:spacing w:val="0"/>
                <w:w w:val="100"/>
                <w:position w:val="0"/>
                <w:sz w:val="21"/>
                <w:szCs w:val="21"/>
              </w:rPr>
              <w:t>（五）不予 处理</w:t>
            </w: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8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rPr>
              <w:t>1</w:t>
            </w:r>
            <w:r>
              <w:rPr>
                <w:color w:val="000000"/>
                <w:spacing w:val="0"/>
                <w:w w:val="100"/>
                <w:position w:val="0"/>
                <w:sz w:val="21"/>
                <w:szCs w:val="21"/>
              </w:rPr>
              <w:t>.信访举报投诉类申请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367"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rPr>
              <w:t>2</w:t>
            </w:r>
            <w:r>
              <w:rPr>
                <w:color w:val="000000"/>
                <w:spacing w:val="0"/>
                <w:w w:val="100"/>
                <w:position w:val="0"/>
                <w:sz w:val="21"/>
                <w:szCs w:val="21"/>
              </w:rPr>
              <w:t>.</w:t>
            </w:r>
            <w:r>
              <w:rPr>
                <w:rFonts w:hint="eastAsia"/>
                <w:color w:val="000000"/>
                <w:spacing w:val="0"/>
                <w:w w:val="100"/>
                <w:position w:val="0"/>
                <w:sz w:val="21"/>
                <w:szCs w:val="21"/>
                <w:lang w:eastAsia="zh-CN"/>
              </w:rPr>
              <w:t>重</w:t>
            </w:r>
            <w:r>
              <w:rPr>
                <w:color w:val="000000"/>
                <w:spacing w:val="0"/>
                <w:w w:val="100"/>
                <w:position w:val="0"/>
                <w:sz w:val="21"/>
                <w:szCs w:val="21"/>
              </w:rPr>
              <w:t>复申请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367"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3.</w:t>
            </w:r>
            <w:r>
              <w:rPr>
                <w:color w:val="000000"/>
                <w:spacing w:val="0"/>
                <w:w w:val="100"/>
                <w:position w:val="0"/>
                <w:sz w:val="21"/>
                <w:szCs w:val="21"/>
              </w:rPr>
              <w:t>要求提供公开出版物</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626"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74"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4.</w:t>
            </w:r>
            <w:r>
              <w:rPr>
                <w:color w:val="000000"/>
                <w:spacing w:val="0"/>
                <w:w w:val="100"/>
                <w:position w:val="0"/>
                <w:sz w:val="21"/>
                <w:szCs w:val="21"/>
              </w:rPr>
              <w:t>无正当理由大量反复申请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569"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66"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5.</w:t>
            </w:r>
            <w:r>
              <w:rPr>
                <w:color w:val="000000"/>
                <w:spacing w:val="0"/>
                <w:w w:val="100"/>
                <w:position w:val="0"/>
                <w:sz w:val="21"/>
                <w:szCs w:val="21"/>
              </w:rPr>
              <w:t>要求行政机关确认或</w:t>
            </w:r>
            <w:r>
              <w:rPr>
                <w:rFonts w:hint="eastAsia"/>
                <w:color w:val="000000"/>
                <w:spacing w:val="0"/>
                <w:w w:val="100"/>
                <w:position w:val="0"/>
                <w:sz w:val="21"/>
                <w:szCs w:val="21"/>
                <w:lang w:eastAsia="zh-CN"/>
              </w:rPr>
              <w:t>重复出具</w:t>
            </w:r>
            <w:r>
              <w:rPr>
                <w:color w:val="000000"/>
                <w:spacing w:val="0"/>
                <w:w w:val="100"/>
                <w:position w:val="0"/>
                <w:sz w:val="21"/>
                <w:szCs w:val="21"/>
              </w:rPr>
              <w:t>已获取信息</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1037"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5" w:lineRule="exact"/>
              <w:ind w:left="0" w:right="0" w:firstLine="0"/>
              <w:jc w:val="left"/>
              <w:rPr>
                <w:sz w:val="21"/>
                <w:szCs w:val="21"/>
              </w:rPr>
            </w:pPr>
            <w:r>
              <w:rPr>
                <w:color w:val="000000"/>
                <w:spacing w:val="0"/>
                <w:w w:val="100"/>
                <w:position w:val="0"/>
                <w:sz w:val="21"/>
                <w:szCs w:val="21"/>
              </w:rPr>
              <w:t>（六）其他 处理</w:t>
            </w: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59"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1.</w:t>
            </w:r>
            <w:r>
              <w:rPr>
                <w:color w:val="000000"/>
                <w:spacing w:val="0"/>
                <w:w w:val="100"/>
                <w:position w:val="0"/>
                <w:sz w:val="21"/>
                <w:szCs w:val="21"/>
              </w:rPr>
              <w:t>申请人无正当理由逾期不补正、行政机关不再处理其政府信息公开申请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1015"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52" w:lineRule="exact"/>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2.</w:t>
            </w:r>
            <w:r>
              <w:rPr>
                <w:color w:val="000000"/>
                <w:spacing w:val="0"/>
                <w:w w:val="100"/>
                <w:position w:val="0"/>
                <w:sz w:val="21"/>
                <w:szCs w:val="21"/>
              </w:rPr>
              <w:t>申请人逾期未按收费通知要求缴纳费用、 行政机关不再处理其政府信息公开申请</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10" w:hRule="exact"/>
          <w:jc w:val="center"/>
        </w:trPr>
        <w:tc>
          <w:tcPr>
            <w:vMerge w:val="continue"/>
            <w:tcBorders>
              <w:left w:val="single" w:color="auto" w:sz="4" w:space="0"/>
            </w:tcBorders>
            <w:shd w:val="clear" w:color="auto" w:fill="FFFFFF"/>
            <w:vAlign w:val="center"/>
          </w:tcPr>
          <w:p>
            <w:pPr>
              <w:rPr>
                <w:sz w:val="21"/>
                <w:szCs w:val="21"/>
              </w:rPr>
            </w:pPr>
          </w:p>
        </w:tc>
        <w:tc>
          <w:tcPr>
            <w:tcW w:w="943" w:type="dxa"/>
            <w:vMerge w:val="continue"/>
            <w:tcBorders>
              <w:left w:val="single" w:color="auto" w:sz="4" w:space="0"/>
            </w:tcBorders>
            <w:shd w:val="clear" w:color="auto" w:fill="FFFFFF"/>
            <w:vAlign w:val="center"/>
          </w:tcPr>
          <w:p>
            <w:pPr>
              <w:rPr>
                <w:sz w:val="21"/>
                <w:szCs w:val="21"/>
              </w:rPr>
            </w:pPr>
          </w:p>
        </w:tc>
        <w:tc>
          <w:tcPr>
            <w:tcW w:w="2307"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both"/>
              <w:rPr>
                <w:sz w:val="21"/>
                <w:szCs w:val="21"/>
              </w:rPr>
            </w:pPr>
            <w:r>
              <w:rPr>
                <w:rFonts w:ascii="Times New Roman" w:hAnsi="Times New Roman" w:eastAsia="Times New Roman" w:cs="Times New Roman"/>
                <w:color w:val="000000"/>
                <w:spacing w:val="0"/>
                <w:w w:val="100"/>
                <w:position w:val="0"/>
                <w:sz w:val="21"/>
                <w:szCs w:val="21"/>
                <w:lang w:val="en-US" w:eastAsia="en-US" w:bidi="en-US"/>
              </w:rPr>
              <w:t>3.</w:t>
            </w:r>
            <w:r>
              <w:rPr>
                <w:color w:val="000000"/>
                <w:spacing w:val="0"/>
                <w:w w:val="100"/>
                <w:position w:val="0"/>
                <w:sz w:val="21"/>
                <w:szCs w:val="21"/>
              </w:rPr>
              <w:t>其他</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403" w:hRule="exact"/>
          <w:jc w:val="center"/>
        </w:trPr>
        <w:tc>
          <w:tcPr>
            <w:vMerge w:val="continue"/>
            <w:tcBorders>
              <w:left w:val="single" w:color="auto" w:sz="4" w:space="0"/>
            </w:tcBorders>
            <w:shd w:val="clear" w:color="auto" w:fill="FFFFFF"/>
            <w:vAlign w:val="center"/>
          </w:tcPr>
          <w:p>
            <w:pPr>
              <w:rPr>
                <w:sz w:val="21"/>
                <w:szCs w:val="21"/>
              </w:rPr>
            </w:pPr>
          </w:p>
        </w:tc>
        <w:tc>
          <w:tcPr>
            <w:tcW w:w="3250" w:type="dxa"/>
            <w:gridSpan w:val="2"/>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（七）总计</w:t>
            </w:r>
          </w:p>
        </w:tc>
        <w:tc>
          <w:tcPr>
            <w:tcW w:w="717"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r>
        <w:tblPrEx>
          <w:tblCellMar>
            <w:top w:w="0" w:type="dxa"/>
            <w:left w:w="10" w:type="dxa"/>
            <w:bottom w:w="0" w:type="dxa"/>
            <w:right w:w="10" w:type="dxa"/>
          </w:tblCellMar>
        </w:tblPrEx>
        <w:trPr>
          <w:trHeight w:val="338" w:hRule="exact"/>
          <w:jc w:val="center"/>
        </w:trPr>
        <w:tc>
          <w:tcPr>
            <w:tcW w:w="4308" w:type="dxa"/>
            <w:gridSpan w:val="3"/>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left"/>
              <w:rPr>
                <w:sz w:val="21"/>
                <w:szCs w:val="21"/>
              </w:rPr>
            </w:pPr>
            <w:r>
              <w:rPr>
                <w:color w:val="000000"/>
                <w:spacing w:val="0"/>
                <w:w w:val="100"/>
                <w:position w:val="0"/>
                <w:sz w:val="21"/>
                <w:szCs w:val="21"/>
              </w:rPr>
              <w:t>四、结转</w:t>
            </w:r>
            <w:r>
              <w:rPr>
                <w:rFonts w:hint="eastAsia"/>
                <w:color w:val="000000"/>
                <w:spacing w:val="0"/>
                <w:w w:val="100"/>
                <w:position w:val="0"/>
                <w:sz w:val="21"/>
                <w:szCs w:val="21"/>
                <w:lang w:eastAsia="zh-CN"/>
              </w:rPr>
              <w:t>下</w:t>
            </w:r>
            <w:r>
              <w:rPr>
                <w:color w:val="000000"/>
                <w:spacing w:val="0"/>
                <w:w w:val="100"/>
                <w:position w:val="0"/>
                <w:sz w:val="21"/>
                <w:szCs w:val="21"/>
              </w:rPr>
              <w:t>年度继续办理</w:t>
            </w:r>
          </w:p>
        </w:tc>
        <w:tc>
          <w:tcPr>
            <w:tcW w:w="717"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19"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41"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2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34"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684" w:type="dxa"/>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bl>
    <w:p>
      <w:pPr>
        <w:sectPr>
          <w:footerReference r:id="rId5" w:type="default"/>
          <w:footerReference r:id="rId6" w:type="even"/>
          <w:footnotePr>
            <w:numFmt w:val="decimal"/>
          </w:footnotePr>
          <w:type w:val="continuous"/>
          <w:pgSz w:w="11900" w:h="16840"/>
          <w:pgMar w:top="1459" w:right="1451" w:bottom="2041" w:left="1549" w:header="1031" w:footer="3" w:gutter="0"/>
          <w:pgNumType w:fmt="decimal"/>
          <w:cols w:space="720" w:num="1"/>
          <w:rtlGutter w:val="0"/>
          <w:docGrid w:linePitch="360" w:charSpace="0"/>
        </w:sectPr>
      </w:pPr>
    </w:p>
    <w:p>
      <w:pPr>
        <w:pStyle w:val="14"/>
        <w:keepNext w:val="0"/>
        <w:keepLines w:val="0"/>
        <w:widowControl w:val="0"/>
        <w:shd w:val="clear" w:color="auto" w:fill="auto"/>
        <w:bidi w:val="0"/>
        <w:spacing w:before="0" w:after="260" w:line="240" w:lineRule="auto"/>
        <w:ind w:left="0" w:leftChars="0" w:right="0" w:firstLine="640" w:firstLineChars="200"/>
        <w:jc w:val="left"/>
        <w:rPr>
          <w:rFonts w:hint="eastAsia" w:ascii="方正黑体_GBK" w:hAnsi="方正黑体_GBK" w:eastAsia="方正黑体_GBK" w:cs="方正黑体_GBK"/>
          <w:sz w:val="32"/>
          <w:szCs w:val="32"/>
        </w:rPr>
      </w:pPr>
      <w:bookmarkStart w:id="3" w:name="bookmark38"/>
      <w:r>
        <w:rPr>
          <w:rFonts w:hint="eastAsia" w:ascii="方正黑体_GBK" w:hAnsi="方正黑体_GBK" w:eastAsia="方正黑体_GBK" w:cs="方正黑体_GBK"/>
          <w:color w:val="000000"/>
          <w:spacing w:val="0"/>
          <w:w w:val="100"/>
          <w:position w:val="0"/>
          <w:sz w:val="32"/>
          <w:szCs w:val="32"/>
        </w:rPr>
        <w:t>四</w:t>
      </w:r>
      <w:bookmarkEnd w:id="3"/>
      <w:r>
        <w:rPr>
          <w:rFonts w:hint="eastAsia" w:ascii="方正黑体_GBK" w:hAnsi="方正黑体_GBK" w:eastAsia="方正黑体_GBK" w:cs="方正黑体_GBK"/>
          <w:color w:val="000000"/>
          <w:spacing w:val="0"/>
          <w:w w:val="100"/>
          <w:position w:val="0"/>
          <w:sz w:val="32"/>
          <w:szCs w:val="32"/>
        </w:rPr>
        <w:t>、政府信息公开行政复议、行政诉讼情况</w:t>
      </w:r>
    </w:p>
    <w:tbl>
      <w:tblPr>
        <w:tblStyle w:val="6"/>
        <w:tblW w:w="0" w:type="auto"/>
        <w:jc w:val="center"/>
        <w:tblLayout w:type="fixed"/>
        <w:tblCellMar>
          <w:top w:w="0" w:type="dxa"/>
          <w:left w:w="10" w:type="dxa"/>
          <w:bottom w:w="0" w:type="dxa"/>
          <w:right w:w="10" w:type="dxa"/>
        </w:tblCellMar>
      </w:tblPr>
      <w:tblGrid>
        <w:gridCol w:w="641"/>
        <w:gridCol w:w="576"/>
        <w:gridCol w:w="583"/>
        <w:gridCol w:w="583"/>
        <w:gridCol w:w="583"/>
        <w:gridCol w:w="576"/>
        <w:gridCol w:w="576"/>
        <w:gridCol w:w="569"/>
        <w:gridCol w:w="583"/>
        <w:gridCol w:w="576"/>
        <w:gridCol w:w="576"/>
        <w:gridCol w:w="583"/>
        <w:gridCol w:w="569"/>
        <w:gridCol w:w="576"/>
        <w:gridCol w:w="727"/>
      </w:tblGrid>
      <w:tr>
        <w:tblPrEx>
          <w:tblCellMar>
            <w:top w:w="0" w:type="dxa"/>
            <w:left w:w="10" w:type="dxa"/>
            <w:bottom w:w="0" w:type="dxa"/>
            <w:right w:w="10" w:type="dxa"/>
          </w:tblCellMar>
        </w:tblPrEx>
        <w:trPr>
          <w:trHeight w:val="432" w:hRule="exact"/>
          <w:jc w:val="center"/>
        </w:trPr>
        <w:tc>
          <w:tcPr>
            <w:tcW w:w="2966" w:type="dxa"/>
            <w:gridSpan w:val="5"/>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eastAsia="SimSun"/>
                <w:sz w:val="21"/>
                <w:szCs w:val="21"/>
                <w:lang w:eastAsia="zh-CN"/>
              </w:rPr>
            </w:pPr>
            <w:r>
              <w:rPr>
                <w:color w:val="000000"/>
                <w:spacing w:val="0"/>
                <w:w w:val="100"/>
                <w:position w:val="0"/>
                <w:sz w:val="21"/>
                <w:szCs w:val="21"/>
              </w:rPr>
              <w:t>行政</w:t>
            </w:r>
            <w:r>
              <w:rPr>
                <w:rFonts w:hint="eastAsia"/>
                <w:color w:val="000000"/>
                <w:spacing w:val="0"/>
                <w:w w:val="100"/>
                <w:position w:val="0"/>
                <w:sz w:val="21"/>
                <w:szCs w:val="21"/>
                <w:lang w:eastAsia="zh-CN"/>
              </w:rPr>
              <w:t>复议</w:t>
            </w:r>
          </w:p>
        </w:tc>
        <w:tc>
          <w:tcPr>
            <w:tcW w:w="5911" w:type="dxa"/>
            <w:gridSpan w:val="10"/>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行政诉讼</w:t>
            </w:r>
          </w:p>
        </w:tc>
      </w:tr>
      <w:tr>
        <w:tblPrEx>
          <w:tblCellMar>
            <w:top w:w="0" w:type="dxa"/>
            <w:left w:w="10" w:type="dxa"/>
            <w:bottom w:w="0" w:type="dxa"/>
            <w:right w:w="10" w:type="dxa"/>
          </w:tblCellMar>
        </w:tblPrEx>
        <w:trPr>
          <w:trHeight w:val="425" w:hRule="exact"/>
          <w:jc w:val="center"/>
        </w:trPr>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rFonts w:hint="eastAsia"/>
                <w:color w:val="000000"/>
                <w:spacing w:val="0"/>
                <w:w w:val="100"/>
                <w:position w:val="0"/>
                <w:sz w:val="21"/>
                <w:szCs w:val="21"/>
                <w:lang w:eastAsia="zh-CN"/>
              </w:rPr>
            </w:pPr>
            <w:r>
              <w:rPr>
                <w:rFonts w:hint="eastAsia"/>
                <w:color w:val="000000"/>
                <w:spacing w:val="0"/>
                <w:w w:val="100"/>
                <w:position w:val="0"/>
                <w:sz w:val="21"/>
                <w:szCs w:val="21"/>
                <w:lang w:eastAsia="zh-CN"/>
              </w:rPr>
              <w:t>结果</w:t>
            </w:r>
          </w:p>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维持</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2" w:lineRule="exact"/>
              <w:ind w:left="0" w:right="0" w:firstLine="0"/>
              <w:jc w:val="center"/>
              <w:rPr>
                <w:sz w:val="21"/>
                <w:szCs w:val="21"/>
              </w:rPr>
            </w:pPr>
            <w:r>
              <w:rPr>
                <w:color w:val="000000"/>
                <w:spacing w:val="0"/>
                <w:w w:val="100"/>
                <w:position w:val="0"/>
                <w:sz w:val="21"/>
                <w:szCs w:val="21"/>
              </w:rPr>
              <w:t>结果 纠正</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2" w:lineRule="exact"/>
              <w:ind w:left="0" w:right="0" w:firstLine="0"/>
              <w:jc w:val="center"/>
              <w:rPr>
                <w:sz w:val="21"/>
                <w:szCs w:val="21"/>
              </w:rPr>
            </w:pPr>
            <w:r>
              <w:rPr>
                <w:color w:val="000000"/>
                <w:spacing w:val="0"/>
                <w:w w:val="100"/>
                <w:position w:val="0"/>
                <w:sz w:val="21"/>
                <w:szCs w:val="21"/>
              </w:rPr>
              <w:t>其他 结果</w:t>
            </w:r>
          </w:p>
        </w:tc>
        <w:tc>
          <w:tcPr>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尚未 审结</w:t>
            </w:r>
          </w:p>
        </w:tc>
        <w:tc>
          <w:tcPr>
            <w:tcW w:w="583" w:type="dxa"/>
            <w:vMerge w:val="restart"/>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总计</w:t>
            </w:r>
          </w:p>
        </w:tc>
        <w:tc>
          <w:tcPr>
            <w:tcW w:w="2880" w:type="dxa"/>
            <w:gridSpan w:val="5"/>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未经复议直接起诉</w:t>
            </w:r>
          </w:p>
        </w:tc>
        <w:tc>
          <w:tcPr>
            <w:gridSpan w:val="5"/>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rFonts w:hint="eastAsia"/>
                <w:color w:val="000000"/>
                <w:spacing w:val="0"/>
                <w:w w:val="100"/>
                <w:position w:val="0"/>
                <w:sz w:val="21"/>
                <w:szCs w:val="21"/>
                <w:lang w:eastAsia="zh-CN"/>
              </w:rPr>
              <w:t>复议</w:t>
            </w:r>
            <w:r>
              <w:rPr>
                <w:color w:val="000000"/>
                <w:spacing w:val="0"/>
                <w:w w:val="100"/>
                <w:position w:val="0"/>
                <w:sz w:val="21"/>
                <w:szCs w:val="21"/>
              </w:rPr>
              <w:t>后起诉</w:t>
            </w:r>
          </w:p>
        </w:tc>
      </w:tr>
      <w:tr>
        <w:tblPrEx>
          <w:tblCellMar>
            <w:top w:w="0" w:type="dxa"/>
            <w:left w:w="10" w:type="dxa"/>
            <w:bottom w:w="0" w:type="dxa"/>
            <w:right w:w="10" w:type="dxa"/>
          </w:tblCellMar>
        </w:tblPrEx>
        <w:trPr>
          <w:trHeight w:val="842" w:hRule="exact"/>
          <w:jc w:val="center"/>
        </w:trPr>
        <w:tc>
          <w:tcPr>
            <w:vMerge w:val="continue"/>
            <w:tcBorders>
              <w:left w:val="single" w:color="auto" w:sz="4" w:space="0"/>
            </w:tcBorders>
            <w:shd w:val="clear" w:color="auto" w:fill="FFFFFF"/>
            <w:vAlign w:val="center"/>
          </w:tcPr>
          <w:p>
            <w:pPr>
              <w:rPr>
                <w:sz w:val="21"/>
                <w:szCs w:val="21"/>
              </w:rPr>
            </w:pPr>
          </w:p>
        </w:tc>
        <w:tc>
          <w:tcPr>
            <w:vMerge w:val="continue"/>
            <w:tcBorders>
              <w:left w:val="single" w:color="auto" w:sz="4" w:space="0"/>
            </w:tcBorders>
            <w:shd w:val="clear" w:color="auto" w:fill="FFFFFF"/>
            <w:vAlign w:val="center"/>
          </w:tcPr>
          <w:p>
            <w:pPr>
              <w:rPr>
                <w:sz w:val="21"/>
                <w:szCs w:val="21"/>
              </w:rPr>
            </w:pPr>
          </w:p>
        </w:tc>
        <w:tc>
          <w:tcPr>
            <w:vMerge w:val="continue"/>
            <w:tcBorders>
              <w:left w:val="single" w:color="auto" w:sz="4" w:space="0"/>
            </w:tcBorders>
            <w:shd w:val="clear" w:color="auto" w:fill="FFFFFF"/>
            <w:vAlign w:val="center"/>
          </w:tcPr>
          <w:p>
            <w:pPr>
              <w:rPr>
                <w:sz w:val="21"/>
                <w:szCs w:val="21"/>
              </w:rPr>
            </w:pPr>
          </w:p>
        </w:tc>
        <w:tc>
          <w:tcPr>
            <w:vMerge w:val="continue"/>
            <w:tcBorders>
              <w:left w:val="single" w:color="auto" w:sz="4" w:space="0"/>
            </w:tcBorders>
            <w:shd w:val="clear" w:color="auto" w:fill="FFFFFF"/>
            <w:vAlign w:val="center"/>
          </w:tcPr>
          <w:p>
            <w:pPr>
              <w:rPr>
                <w:sz w:val="21"/>
                <w:szCs w:val="21"/>
              </w:rPr>
            </w:pPr>
          </w:p>
        </w:tc>
        <w:tc>
          <w:tcPr>
            <w:tcW w:w="583" w:type="dxa"/>
            <w:vMerge w:val="continue"/>
            <w:tcBorders>
              <w:left w:val="single" w:color="auto" w:sz="4" w:space="0"/>
            </w:tcBorders>
            <w:shd w:val="clear" w:color="auto" w:fill="FFFFFF"/>
            <w:vAlign w:val="center"/>
          </w:tcPr>
          <w:p>
            <w:pPr>
              <w:rPr>
                <w:sz w:val="21"/>
                <w:szCs w:val="21"/>
              </w:rPr>
            </w:pPr>
          </w:p>
        </w:tc>
        <w:tc>
          <w:tcPr>
            <w:tcW w:w="576"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40" w:line="240" w:lineRule="auto"/>
              <w:ind w:left="0" w:right="0" w:firstLine="0"/>
              <w:jc w:val="center"/>
              <w:rPr>
                <w:sz w:val="21"/>
                <w:szCs w:val="21"/>
              </w:rPr>
            </w:pPr>
            <w:r>
              <w:rPr>
                <w:color w:val="000000"/>
                <w:spacing w:val="0"/>
                <w:w w:val="100"/>
                <w:position w:val="0"/>
                <w:sz w:val="21"/>
                <w:szCs w:val="21"/>
              </w:rPr>
              <w:t>结果</w:t>
            </w:r>
          </w:p>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维持</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rFonts w:hint="eastAsia"/>
                <w:color w:val="000000"/>
                <w:spacing w:val="0"/>
                <w:w w:val="100"/>
                <w:position w:val="0"/>
                <w:sz w:val="21"/>
                <w:szCs w:val="21"/>
                <w:lang w:eastAsia="zh-CN"/>
              </w:rPr>
              <w:t>结果</w:t>
            </w:r>
            <w:r>
              <w:rPr>
                <w:rFonts w:hint="eastAsia"/>
                <w:color w:val="000000"/>
                <w:spacing w:val="0"/>
                <w:w w:val="100"/>
                <w:position w:val="0"/>
                <w:sz w:val="21"/>
                <w:szCs w:val="21"/>
              </w:rPr>
              <w:t xml:space="preserve"> 纠正</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66" w:lineRule="exact"/>
              <w:ind w:left="0" w:right="0" w:firstLine="0"/>
              <w:jc w:val="center"/>
              <w:rPr>
                <w:sz w:val="21"/>
                <w:szCs w:val="21"/>
              </w:rPr>
            </w:pPr>
            <w:r>
              <w:rPr>
                <w:color w:val="000000"/>
                <w:spacing w:val="0"/>
                <w:w w:val="100"/>
                <w:position w:val="0"/>
                <w:sz w:val="21"/>
                <w:szCs w:val="21"/>
              </w:rPr>
              <w:t>其他 结果</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66" w:lineRule="exact"/>
              <w:ind w:left="0" w:right="0" w:firstLine="0"/>
              <w:jc w:val="center"/>
              <w:rPr>
                <w:sz w:val="21"/>
                <w:szCs w:val="21"/>
              </w:rPr>
            </w:pPr>
            <w:r>
              <w:rPr>
                <w:color w:val="000000"/>
                <w:spacing w:val="0"/>
                <w:w w:val="100"/>
                <w:position w:val="0"/>
                <w:sz w:val="21"/>
                <w:szCs w:val="21"/>
              </w:rPr>
              <w:t>尚未 审结</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总计</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结果 维持</w:t>
            </w:r>
          </w:p>
        </w:tc>
        <w:tc>
          <w:tcPr>
            <w:tcW w:w="583"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结果 纠正</w:t>
            </w:r>
          </w:p>
        </w:tc>
        <w:tc>
          <w:tcPr>
            <w:tcW w:w="569" w:type="dxa"/>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40" w:line="240" w:lineRule="auto"/>
              <w:ind w:left="0" w:right="0" w:firstLine="0"/>
              <w:jc w:val="center"/>
              <w:rPr>
                <w:sz w:val="21"/>
                <w:szCs w:val="21"/>
              </w:rPr>
            </w:pPr>
            <w:r>
              <w:rPr>
                <w:color w:val="000000"/>
                <w:spacing w:val="0"/>
                <w:w w:val="100"/>
                <w:position w:val="0"/>
                <w:sz w:val="21"/>
                <w:szCs w:val="21"/>
              </w:rPr>
              <w:t>其他</w:t>
            </w:r>
          </w:p>
          <w:p>
            <w:pPr>
              <w:pStyle w:val="24"/>
              <w:keepNext w:val="0"/>
              <w:keepLines w:val="0"/>
              <w:widowControl w:val="0"/>
              <w:shd w:val="clear" w:color="auto" w:fill="auto"/>
              <w:bidi w:val="0"/>
              <w:spacing w:before="0" w:after="0" w:line="240" w:lineRule="auto"/>
              <w:ind w:left="0" w:right="0" w:firstLine="0"/>
              <w:jc w:val="center"/>
              <w:rPr>
                <w:sz w:val="21"/>
                <w:szCs w:val="21"/>
              </w:rPr>
            </w:pPr>
            <w:r>
              <w:rPr>
                <w:color w:val="000000"/>
                <w:spacing w:val="0"/>
                <w:w w:val="100"/>
                <w:position w:val="0"/>
                <w:sz w:val="21"/>
                <w:szCs w:val="21"/>
              </w:rPr>
              <w:t>结果</w:t>
            </w:r>
          </w:p>
        </w:tc>
        <w:tc>
          <w:tcPr>
            <w:tcBorders>
              <w:top w:val="single" w:color="auto" w:sz="4" w:space="0"/>
              <w:left w:val="single" w:color="auto" w:sz="4" w:space="0"/>
            </w:tcBorders>
            <w:shd w:val="clear" w:color="auto" w:fill="FFFFFF"/>
            <w:vAlign w:val="center"/>
          </w:tcPr>
          <w:p>
            <w:pPr>
              <w:pStyle w:val="24"/>
              <w:keepNext w:val="0"/>
              <w:keepLines w:val="0"/>
              <w:widowControl w:val="0"/>
              <w:shd w:val="clear" w:color="auto" w:fill="auto"/>
              <w:bidi w:val="0"/>
              <w:spacing w:before="0" w:after="0" w:line="259" w:lineRule="exact"/>
              <w:ind w:left="0" w:right="0" w:firstLine="0"/>
              <w:jc w:val="center"/>
              <w:rPr>
                <w:sz w:val="21"/>
                <w:szCs w:val="21"/>
              </w:rPr>
            </w:pPr>
            <w:r>
              <w:rPr>
                <w:color w:val="000000"/>
                <w:spacing w:val="0"/>
                <w:w w:val="100"/>
                <w:position w:val="0"/>
                <w:sz w:val="21"/>
                <w:szCs w:val="21"/>
              </w:rPr>
              <w:t>尚未 审结</w:t>
            </w:r>
          </w:p>
        </w:tc>
        <w:tc>
          <w:tcPr>
            <w:tcBorders>
              <w:top w:val="single" w:color="auto" w:sz="4" w:space="0"/>
              <w:left w:val="single" w:color="auto" w:sz="4" w:space="0"/>
              <w:right w:val="single" w:color="auto" w:sz="4" w:space="0"/>
            </w:tcBorders>
            <w:shd w:val="clear" w:color="auto" w:fill="FFFFFF"/>
            <w:vAlign w:val="center"/>
          </w:tcPr>
          <w:p>
            <w:pPr>
              <w:pStyle w:val="24"/>
              <w:keepNext w:val="0"/>
              <w:keepLines w:val="0"/>
              <w:widowControl w:val="0"/>
              <w:shd w:val="clear" w:color="auto" w:fill="auto"/>
              <w:bidi w:val="0"/>
              <w:spacing w:before="0" w:after="0" w:line="240" w:lineRule="auto"/>
              <w:ind w:left="0" w:right="0" w:firstLine="0"/>
              <w:jc w:val="center"/>
              <w:rPr>
                <w:rFonts w:hint="eastAsia" w:eastAsia="SimSun"/>
                <w:sz w:val="21"/>
                <w:szCs w:val="21"/>
                <w:lang w:eastAsia="zh-CN"/>
              </w:rPr>
            </w:pPr>
            <w:r>
              <w:rPr>
                <w:rFonts w:hint="eastAsia"/>
                <w:sz w:val="21"/>
                <w:szCs w:val="21"/>
                <w:lang w:eastAsia="zh-CN"/>
              </w:rPr>
              <w:t>总计</w:t>
            </w:r>
          </w:p>
        </w:tc>
      </w:tr>
      <w:tr>
        <w:tblPrEx>
          <w:tblCellMar>
            <w:top w:w="0" w:type="dxa"/>
            <w:left w:w="10" w:type="dxa"/>
            <w:bottom w:w="0" w:type="dxa"/>
            <w:right w:w="10" w:type="dxa"/>
          </w:tblCellMar>
        </w:tblPrEx>
        <w:trPr>
          <w:trHeight w:val="1289" w:hRule="exact"/>
          <w:jc w:val="center"/>
        </w:trPr>
        <w:tc>
          <w:tcPr>
            <w:tcW w:w="641"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83"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83"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83"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69"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83"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83"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69"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576" w:type="dxa"/>
            <w:tcBorders>
              <w:top w:val="single" w:color="auto" w:sz="4" w:space="0"/>
              <w:left w:val="single" w:color="auto" w:sz="4" w:space="0"/>
              <w:bottom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c>
          <w:tcPr>
            <w:tcW w:w="727" w:type="dxa"/>
            <w:tcBorders>
              <w:top w:val="single" w:color="auto" w:sz="4" w:space="0"/>
              <w:left w:val="single" w:color="auto" w:sz="4" w:space="0"/>
              <w:bottom w:val="single" w:color="auto" w:sz="4" w:space="0"/>
              <w:right w:val="single" w:color="auto" w:sz="4" w:space="0"/>
            </w:tcBorders>
            <w:shd w:val="clear" w:color="auto" w:fill="FFFFFF"/>
            <w:vAlign w:val="top"/>
          </w:tcPr>
          <w:p>
            <w:pPr>
              <w:pStyle w:val="24"/>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1"/>
                <w:szCs w:val="21"/>
                <w:lang w:val="en-US" w:eastAsia="zh-CN"/>
              </w:rPr>
            </w:pPr>
            <w:r>
              <w:rPr>
                <w:rFonts w:hint="eastAsia"/>
                <w:color w:val="000000"/>
                <w:spacing w:val="0"/>
                <w:w w:val="100"/>
                <w:position w:val="0"/>
                <w:sz w:val="21"/>
                <w:szCs w:val="21"/>
                <w:lang w:val="en-US" w:eastAsia="zh-CN"/>
              </w:rPr>
              <w:t>0</w:t>
            </w:r>
          </w:p>
        </w:tc>
      </w:tr>
    </w:tbl>
    <w:p>
      <w:pPr>
        <w:widowControl w:val="0"/>
        <w:spacing w:after="259" w:line="1" w:lineRule="exact"/>
      </w:pPr>
    </w:p>
    <w:p>
      <w:pPr>
        <w:pStyle w:val="14"/>
        <w:keepNext w:val="0"/>
        <w:keepLines w:val="0"/>
        <w:widowControl w:val="0"/>
        <w:shd w:val="clear" w:color="auto" w:fill="auto"/>
        <w:tabs>
          <w:tab w:val="left" w:pos="1238"/>
        </w:tabs>
        <w:bidi w:val="0"/>
        <w:spacing w:before="0" w:after="260" w:line="240" w:lineRule="auto"/>
        <w:ind w:left="0" w:right="0" w:firstLine="620"/>
        <w:jc w:val="left"/>
        <w:rPr>
          <w:rFonts w:hint="eastAsia" w:ascii="方正黑体_GBK" w:hAnsi="方正黑体_GBK" w:eastAsia="方正黑体_GBK" w:cs="方正黑体_GBK"/>
          <w:sz w:val="32"/>
          <w:szCs w:val="32"/>
        </w:rPr>
      </w:pPr>
      <w:bookmarkStart w:id="4" w:name="bookmark39"/>
      <w:r>
        <w:rPr>
          <w:rFonts w:hint="eastAsia" w:ascii="方正黑体_GBK" w:hAnsi="方正黑体_GBK" w:eastAsia="方正黑体_GBK" w:cs="方正黑体_GBK"/>
          <w:color w:val="000000"/>
          <w:spacing w:val="0"/>
          <w:w w:val="100"/>
          <w:position w:val="0"/>
          <w:sz w:val="32"/>
          <w:szCs w:val="32"/>
        </w:rPr>
        <w:t>五</w:t>
      </w:r>
      <w:bookmarkEnd w:id="4"/>
      <w:r>
        <w:rPr>
          <w:rFonts w:hint="eastAsia" w:ascii="方正黑体_GBK" w:hAnsi="方正黑体_GBK" w:eastAsia="方正黑体_GBK" w:cs="方正黑体_GBK"/>
          <w:color w:val="000000"/>
          <w:spacing w:val="0"/>
          <w:w w:val="100"/>
          <w:position w:val="0"/>
          <w:sz w:val="32"/>
          <w:szCs w:val="32"/>
        </w:rPr>
        <w:t>、存在的主要问题及改进情况</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000000"/>
          <w:spacing w:val="0"/>
          <w:w w:val="100"/>
          <w:kern w:val="0"/>
          <w:position w:val="0"/>
          <w:sz w:val="32"/>
          <w:szCs w:val="32"/>
          <w:shd w:val="clear" w:color="auto" w:fill="FFFFFF"/>
          <w:lang w:val="en-US" w:eastAsia="zh-CN" w:bidi="ar"/>
        </w:rPr>
      </w:pPr>
      <w:bookmarkStart w:id="5" w:name="bookmark40"/>
      <w:r>
        <w:rPr>
          <w:rFonts w:hint="eastAsia" w:ascii="仿宋_gb2312" w:hAnsi="仿宋_gb2312" w:eastAsia="仿宋_gb2312" w:cs="仿宋_gb2312"/>
          <w:i w:val="0"/>
          <w:caps w:val="0"/>
          <w:color w:val="000000"/>
          <w:spacing w:val="0"/>
          <w:w w:val="100"/>
          <w:kern w:val="0"/>
          <w:position w:val="0"/>
          <w:sz w:val="32"/>
          <w:szCs w:val="32"/>
          <w:shd w:val="clear" w:color="auto" w:fill="FFFFFF"/>
          <w:lang w:val="en-US" w:eastAsia="zh-CN" w:bidi="ar"/>
        </w:rPr>
        <w:t>2022年，我委政府信息公开工作取得了一定成效，但依然存在人员力量薄弱、专业水平不够高等问题。2023年，我委将着力加强人员配备、加大培训力度、提升专业水平、强化日常工作，力争政府信息公开工作效能进入全市第一方阵。</w:t>
      </w:r>
    </w:p>
    <w:p>
      <w:pPr>
        <w:pStyle w:val="14"/>
        <w:keepNext w:val="0"/>
        <w:keepLines w:val="0"/>
        <w:widowControl w:val="0"/>
        <w:shd w:val="clear" w:color="auto" w:fill="auto"/>
        <w:tabs>
          <w:tab w:val="left" w:pos="1238"/>
        </w:tabs>
        <w:bidi w:val="0"/>
        <w:spacing w:before="0" w:after="260" w:line="240" w:lineRule="auto"/>
        <w:ind w:left="0" w:right="0" w:firstLine="620"/>
        <w:jc w:val="left"/>
        <w:rPr>
          <w:rFonts w:hint="eastAsia" w:ascii="方正黑体_GBK" w:hAnsi="方正黑体_GBK" w:eastAsia="方正黑体_GBK" w:cs="方正黑体_GBK"/>
          <w:color w:val="000000"/>
          <w:spacing w:val="0"/>
          <w:w w:val="100"/>
          <w:position w:val="0"/>
          <w:sz w:val="32"/>
          <w:szCs w:val="32"/>
        </w:rPr>
      </w:pPr>
    </w:p>
    <w:p>
      <w:pPr>
        <w:pStyle w:val="14"/>
        <w:keepNext w:val="0"/>
        <w:keepLines w:val="0"/>
        <w:widowControl w:val="0"/>
        <w:shd w:val="clear" w:color="auto" w:fill="auto"/>
        <w:tabs>
          <w:tab w:val="left" w:pos="1238"/>
        </w:tabs>
        <w:bidi w:val="0"/>
        <w:spacing w:before="0" w:after="260" w:line="240" w:lineRule="auto"/>
        <w:ind w:left="0" w:right="0" w:firstLine="620"/>
        <w:jc w:val="left"/>
        <w:rPr>
          <w:rFonts w:hint="eastAsia" w:ascii="方正黑体_GBK" w:hAnsi="方正黑体_GBK" w:eastAsia="方正黑体_GBK" w:cs="方正黑体_GBK"/>
          <w:color w:val="000000"/>
          <w:spacing w:val="0"/>
          <w:w w:val="100"/>
          <w:position w:val="0"/>
          <w:sz w:val="32"/>
          <w:szCs w:val="32"/>
        </w:rPr>
      </w:pPr>
      <w:r>
        <w:rPr>
          <w:rFonts w:hint="eastAsia" w:ascii="方正黑体_GBK" w:hAnsi="方正黑体_GBK" w:eastAsia="方正黑体_GBK" w:cs="方正黑体_GBK"/>
          <w:color w:val="000000"/>
          <w:spacing w:val="0"/>
          <w:w w:val="100"/>
          <w:position w:val="0"/>
          <w:sz w:val="32"/>
          <w:szCs w:val="32"/>
        </w:rPr>
        <w:t>六</w:t>
      </w:r>
      <w:bookmarkEnd w:id="5"/>
      <w:r>
        <w:rPr>
          <w:rFonts w:hint="eastAsia" w:ascii="方正黑体_GBK" w:hAnsi="方正黑体_GBK" w:eastAsia="方正黑体_GBK" w:cs="方正黑体_GBK"/>
          <w:color w:val="000000"/>
          <w:spacing w:val="0"/>
          <w:w w:val="100"/>
          <w:position w:val="0"/>
          <w:sz w:val="32"/>
          <w:szCs w:val="32"/>
        </w:rPr>
        <w:t>、其他需要报告的事项</w:t>
      </w:r>
    </w:p>
    <w:p>
      <w:pPr>
        <w:keepNext w:val="0"/>
        <w:keepLines w:val="0"/>
        <w:widowControl/>
        <w:suppressLineNumbers w:val="0"/>
        <w:shd w:val="clear" w:color="auto" w:fill="auto"/>
        <w:ind w:firstLine="640" w:firstLineChars="200"/>
        <w:jc w:val="left"/>
        <w:rPr>
          <w:rFonts w:hint="eastAsia" w:ascii="仿宋_gb2312" w:hAnsi="仿宋_gb2312" w:eastAsia="仿宋_gb2312" w:cs="仿宋_gb2312"/>
          <w:i w:val="0"/>
          <w:caps w:val="0"/>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w w:val="100"/>
          <w:kern w:val="0"/>
          <w:position w:val="0"/>
          <w:sz w:val="32"/>
          <w:szCs w:val="32"/>
          <w:shd w:val="clear" w:color="auto" w:fill="FFFFFF"/>
          <w:lang w:val="en-US" w:eastAsia="zh-CN" w:bidi="ar"/>
        </w:rPr>
        <w:t>2022年度，本机关无收取信息处理费情况。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20"/>
        <w:jc w:val="center"/>
        <w:textAlignment w:val="auto"/>
        <w:rPr>
          <w:rFonts w:hint="eastAsia" w:ascii="仿宋_gb2312" w:hAnsi="仿宋_gb2312" w:eastAsia="仿宋_gb2312" w:cs="仿宋_gb2312"/>
          <w:color w:val="000000"/>
          <w:spacing w:val="0"/>
          <w:w w:val="100"/>
          <w:position w:val="0"/>
          <w:sz w:val="32"/>
          <w:szCs w:val="32"/>
          <w:lang w:eastAsia="zh-CN"/>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lang w:eastAsia="zh-CN"/>
        </w:rPr>
        <w:t>宜春市国有资产监督管理委员会</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leftChars="0" w:right="0" w:firstLine="0" w:firstLineChars="0"/>
        <w:jc w:val="center"/>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w:t>
      </w:r>
      <w:r>
        <w:rPr>
          <w:rFonts w:hint="default"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val="en-US" w:eastAsia="zh-CN"/>
        </w:rPr>
        <w:t>年1月</w:t>
      </w:r>
      <w:r>
        <w:rPr>
          <w:rFonts w:hint="default" w:ascii="仿宋_gb2312" w:hAnsi="仿宋_gb2312" w:eastAsia="仿宋_gb2312" w:cs="仿宋_gb2312"/>
          <w:color w:val="000000"/>
          <w:spacing w:val="0"/>
          <w:w w:val="100"/>
          <w:position w:val="0"/>
          <w:sz w:val="32"/>
          <w:szCs w:val="32"/>
          <w:lang w:val="en-US" w:eastAsia="zh-CN"/>
        </w:rPr>
        <w:t>9</w:t>
      </w:r>
      <w:r>
        <w:rPr>
          <w:rFonts w:hint="eastAsia" w:ascii="仿宋_gb2312" w:hAnsi="仿宋_gb2312" w:eastAsia="仿宋_gb2312" w:cs="仿宋_gb2312"/>
          <w:color w:val="000000"/>
          <w:spacing w:val="0"/>
          <w:w w:val="100"/>
          <w:position w:val="0"/>
          <w:sz w:val="32"/>
          <w:szCs w:val="32"/>
          <w:lang w:val="en-US" w:eastAsia="zh-CN"/>
        </w:rPr>
        <w:t>日</w:t>
      </w:r>
    </w:p>
    <w:sectPr>
      <w:footerReference r:id="rId7" w:type="default"/>
      <w:footerReference r:id="rId8" w:type="even"/>
      <w:footnotePr>
        <w:numFmt w:val="decimal"/>
      </w:footnotePr>
      <w:pgSz w:w="11900" w:h="16840"/>
      <w:pgMar w:top="1459" w:right="1451" w:bottom="2041" w:left="1549" w:header="1031"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0000000000000000000"/>
    <w:charset w:val="86"/>
    <w:family w:val="auto"/>
    <w:pitch w:val="default"/>
    <w:sig w:usb0="00000000" w:usb1="00000000" w:usb2="00000000" w:usb3="00000000" w:csb0="00000000"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SimSun">
    <w:panose1 w:val="02010600030101010101"/>
    <w:charset w:val="86"/>
    <w:family w:val="auto"/>
    <w:pitch w:val="default"/>
    <w:sig w:usb0="00000003" w:usb1="080E0000" w:usb2="00000000"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inside</wp:align>
              </wp:positionH>
              <wp:positionV relativeFrom="paragraph">
                <wp:posOffset>0</wp:posOffset>
              </wp:positionV>
              <wp:extent cx="141605" cy="118745"/>
              <wp:effectExtent l="0" t="0" r="0" b="0"/>
              <wp:wrapNone/>
              <wp:docPr id="13" name="Shape 13"/>
              <wp:cNvGraphicFramePr/>
              <a:graphic xmlns:a="http://schemas.openxmlformats.org/drawingml/2006/main">
                <a:graphicData uri="http://schemas.microsoft.com/office/word/2010/wordprocessingShape">
                  <wps:wsp>
                    <wps:cNvSpPr txBox="1"/>
                    <wps:spPr>
                      <a:xfrm>
                        <a:off x="0" y="0"/>
                        <a:ext cx="141605" cy="11874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13" o:spid="_x0000_s1026" o:spt="202" type="#_x0000_t202" style="position:absolute;left:0pt;margin-top:0pt;height:9.35pt;width:11.15pt;mso-position-horizontal:inside;mso-position-horizontal-relative:margin;mso-wrap-style:none;z-index:251659264;mso-width-relative:page;mso-height-relative:page;" filled="f" stroked="f" coordsize="21600,21600" o:gfxdata="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Lv5v2dEAAAADAQAADwAAAAAAAAABACAAAAA4AAAAZHJzL2Rvd25yZXYueG1sUEsB&#10;AhQAFAAAAAgAh07iQMqaB8OtAQAAcQMAAA4AAAAAAAAAAQAgAAAANgEAAGRycy9lMm9Eb2MueG1s&#10;UEsFBgAAAAAGAAYAWQEAAFUF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inside</wp:align>
              </wp:positionH>
              <wp:positionV relativeFrom="paragraph">
                <wp:posOffset>0</wp:posOffset>
              </wp:positionV>
              <wp:extent cx="141605" cy="118745"/>
              <wp:effectExtent l="0" t="0" r="0" b="0"/>
              <wp:wrapNone/>
              <wp:docPr id="15" name="Shape 15"/>
              <wp:cNvGraphicFramePr/>
              <a:graphic xmlns:a="http://schemas.openxmlformats.org/drawingml/2006/main">
                <a:graphicData uri="http://schemas.microsoft.com/office/word/2010/wordprocessingShape">
                  <wps:wsp>
                    <wps:cNvSpPr txBox="1"/>
                    <wps:spPr>
                      <a:xfrm>
                        <a:off x="0" y="0"/>
                        <a:ext cx="141605" cy="11874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wps:txbx>
                    <wps:bodyPr wrap="none" lIns="0" tIns="0" rIns="0" bIns="0">
                      <a:spAutoFit/>
                    </wps:bodyPr>
                  </wps:wsp>
                </a:graphicData>
              </a:graphic>
            </wp:anchor>
          </w:drawing>
        </mc:Choice>
        <mc:Fallback>
          <w:pict>
            <v:shape id="Shape 15" o:spid="_x0000_s1026" o:spt="202" type="#_x0000_t202" style="position:absolute;left:0pt;margin-top:0pt;height:9.35pt;width:11.15pt;mso-position-horizontal:inside;mso-position-horizontal-relative:margin;mso-wrap-style:none;z-index:251659264;mso-width-relative:page;mso-height-relative:page;" filled="f" stroked="f" coordsize="21600,21600" o:gfxdata="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Lv5v2dEAAAADAQAADwAAAAAAAAABACAAAAA4AAAAZHJzL2Rvd25yZXYueG1sUEsB&#10;AhQAFAAAAAgAh07iQIsfO8mtAQAAcQMAAA4AAAAAAAAAAQAgAAAANgEAAGRycy9lMm9Eb2MueG1s&#10;UEsFBgAAAAAGAAYAWQEAAFUF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H+OrREyAgAAYQQAAA4AAAAAAAAAAQAgAAAA&#10;NQEAAGRycy9lMm9Eb2MueG1sUEsFBgAAAAAGAAYAWQEAANk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3756660</wp:posOffset>
              </wp:positionH>
              <wp:positionV relativeFrom="page">
                <wp:posOffset>9460865</wp:posOffset>
              </wp:positionV>
              <wp:extent cx="137160" cy="118745"/>
              <wp:effectExtent l="0" t="0" r="0" b="0"/>
              <wp:wrapNone/>
              <wp:docPr id="17" name="Shape 17"/>
              <wp:cNvGraphicFramePr/>
              <a:graphic xmlns:a="http://schemas.openxmlformats.org/drawingml/2006/main">
                <a:graphicData uri="http://schemas.microsoft.com/office/word/2010/wordprocessingShape">
                  <wps:wsp>
                    <wps:cNvSpPr txBox="1"/>
                    <wps:spPr>
                      <a:xfrm>
                        <a:off x="0" y="0"/>
                        <a:ext cx="137160" cy="11874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17" o:spid="_x0000_s1026" o:spt="202" type="#_x0000_t202" style="position:absolute;left:0pt;margin-left:295.8pt;margin-top:744.95pt;height:9.35pt;width:10.8pt;mso-position-horizontal-relative:page;mso-position-vertical-relative:page;mso-wrap-style:none;z-index:-251657216;mso-width-relative:page;mso-height-relative:page;" filled="f" stroked="f" coordsize="21600,21600" o:gfxdata="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F3UHVbZAAAADQEAAA8AAAAAAAAAAQAgAAAAOAAAAGRycy9kb3ducmV2&#10;LnhtbFBLAQIUABQAAAAIAIdO4kBPs9W1rAEAAHEDAAAOAAAAAAAAAAEAIAAAAD4BAABkcnMvZTJv&#10;RG9jLnhtbFBLBQYAAAAABgAGAFkBAABc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MIkSXjECAABhBAAADgAAAAAAAAABACAAAAA1&#10;AQAAZHJzL2Uyb0RvYy54bWxQSwUGAAAAAAYABgBZAQAA2A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0" distR="0" simplePos="0" relativeHeight="251659264" behindDoc="1" locked="0" layoutInCell="1" allowOverlap="1">
              <wp:simplePos x="0" y="0"/>
              <wp:positionH relativeFrom="page">
                <wp:posOffset>3756660</wp:posOffset>
              </wp:positionH>
              <wp:positionV relativeFrom="page">
                <wp:posOffset>9460865</wp:posOffset>
              </wp:positionV>
              <wp:extent cx="137160" cy="118745"/>
              <wp:effectExtent l="0" t="0" r="0" b="0"/>
              <wp:wrapNone/>
              <wp:docPr id="19" name="Shape 19"/>
              <wp:cNvGraphicFramePr/>
              <a:graphic xmlns:a="http://schemas.openxmlformats.org/drawingml/2006/main">
                <a:graphicData uri="http://schemas.microsoft.com/office/word/2010/wordprocessingShape">
                  <wps:wsp>
                    <wps:cNvSpPr txBox="1"/>
                    <wps:spPr>
                      <a:xfrm>
                        <a:off x="0" y="0"/>
                        <a:ext cx="137160" cy="11874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rPr>
                            <w:t>13</w:t>
                          </w:r>
                        </w:p>
                      </w:txbxContent>
                    </wps:txbx>
                    <wps:bodyPr wrap="none" lIns="0" tIns="0" rIns="0" bIns="0">
                      <a:spAutoFit/>
                    </wps:bodyPr>
                  </wps:wsp>
                </a:graphicData>
              </a:graphic>
            </wp:anchor>
          </w:drawing>
        </mc:Choice>
        <mc:Fallback>
          <w:pict>
            <v:shape id="Shape 19" o:spid="_x0000_s1026" o:spt="202" type="#_x0000_t202" style="position:absolute;left:0pt;margin-left:295.8pt;margin-top:744.95pt;height:9.35pt;width:10.8pt;mso-position-horizontal-relative:page;mso-position-vertical-relative:page;mso-wrap-style:none;z-index:-251657216;mso-width-relative:page;mso-height-relative:page;" filled="f" stroked="f" coordsize="21600,21600" o:gfxdata="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d1B1W2QAAAA0BAAAPAAAAAAAAAAEAIAAAADgAAABkcnMvZG93bnJl&#10;di54bWxQSwECFAAUAAAACACHTuJAzThoEa0BAABxAwAADgAAAAAAAAABACAAAAA+AQAAZHJzL2Uy&#10;b0RvYy54bWxQSwUGAAAAAAYABgBZAQAAXQU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rPr>
                      <w:t>13</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CEFE82"/>
    <w:multiLevelType w:val="singleLevel"/>
    <w:tmpl w:val="FBCEFE82"/>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19FD69BB"/>
    <w:rsid w:val="27EF2E62"/>
    <w:rsid w:val="4CF3435B"/>
    <w:rsid w:val="71AEFB49"/>
    <w:rsid w:val="73FBF554"/>
    <w:rsid w:val="7E3B2138"/>
    <w:rsid w:val="7EDFFE50"/>
    <w:rsid w:val="7F9F5A44"/>
    <w:rsid w:val="BBF810A8"/>
    <w:rsid w:val="BEDDFD16"/>
    <w:rsid w:val="BFF95075"/>
    <w:rsid w:val="CFBD3AD4"/>
    <w:rsid w:val="D57F6347"/>
    <w:rsid w:val="DAFFA45B"/>
    <w:rsid w:val="DFDE93FF"/>
    <w:rsid w:val="E3FFDE09"/>
    <w:rsid w:val="EBF7FC42"/>
    <w:rsid w:val="F5D35696"/>
    <w:rsid w:val="F7F6487C"/>
    <w:rsid w:val="FE680A92"/>
    <w:rsid w:val="FEF7DBAD"/>
    <w:rsid w:val="FFE726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Heading #1|1_"/>
    <w:basedOn w:val="7"/>
    <w:link w:val="10"/>
    <w:qFormat/>
    <w:uiPriority w:val="0"/>
    <w:rPr>
      <w:rFonts w:ascii="SimSun" w:hAnsi="SimSun" w:eastAsia="SimSun" w:cs="SimSun"/>
      <w:sz w:val="142"/>
      <w:szCs w:val="142"/>
      <w:u w:val="none"/>
      <w:shd w:val="clear" w:color="auto" w:fill="auto"/>
      <w:lang w:val="zh-TW" w:eastAsia="zh-TW" w:bidi="zh-TW"/>
    </w:rPr>
  </w:style>
  <w:style w:type="paragraph" w:customStyle="1" w:styleId="10">
    <w:name w:val="Heading #1|1"/>
    <w:basedOn w:val="1"/>
    <w:link w:val="9"/>
    <w:qFormat/>
    <w:uiPriority w:val="0"/>
    <w:pPr>
      <w:widowControl w:val="0"/>
      <w:shd w:val="clear" w:color="auto" w:fill="auto"/>
      <w:spacing w:before="2260" w:after="540"/>
      <w:jc w:val="center"/>
      <w:outlineLvl w:val="0"/>
    </w:pPr>
    <w:rPr>
      <w:rFonts w:ascii="SimSun" w:hAnsi="SimSun" w:eastAsia="SimSun" w:cs="SimSun"/>
      <w:sz w:val="142"/>
      <w:szCs w:val="142"/>
      <w:u w:val="none"/>
      <w:shd w:val="clear" w:color="auto" w:fill="auto"/>
      <w:lang w:val="zh-TW" w:eastAsia="zh-TW" w:bidi="zh-TW"/>
    </w:rPr>
  </w:style>
  <w:style w:type="character" w:customStyle="1" w:styleId="11">
    <w:name w:val="Header or footer|2_"/>
    <w:basedOn w:val="7"/>
    <w:link w:val="12"/>
    <w:qFormat/>
    <w:uiPriority w:val="0"/>
    <w:rPr>
      <w:sz w:val="20"/>
      <w:szCs w:val="20"/>
      <w:u w:val="none"/>
      <w:shd w:val="clear" w:color="auto" w:fill="auto"/>
      <w:lang w:val="zh-TW" w:eastAsia="zh-TW" w:bidi="zh-TW"/>
    </w:rPr>
  </w:style>
  <w:style w:type="paragraph" w:customStyle="1" w:styleId="12">
    <w:name w:val="Header or footer|2"/>
    <w:basedOn w:val="1"/>
    <w:link w:val="11"/>
    <w:qFormat/>
    <w:uiPriority w:val="0"/>
    <w:pPr>
      <w:widowControl w:val="0"/>
      <w:shd w:val="clear" w:color="auto" w:fill="auto"/>
    </w:pPr>
    <w:rPr>
      <w:sz w:val="20"/>
      <w:szCs w:val="20"/>
      <w:u w:val="none"/>
      <w:shd w:val="clear" w:color="auto" w:fill="auto"/>
      <w:lang w:val="zh-TW" w:eastAsia="zh-TW" w:bidi="zh-TW"/>
    </w:rPr>
  </w:style>
  <w:style w:type="character" w:customStyle="1" w:styleId="13">
    <w:name w:val="Body text|1_"/>
    <w:basedOn w:val="7"/>
    <w:link w:val="14"/>
    <w:qFormat/>
    <w:uiPriority w:val="0"/>
    <w:rPr>
      <w:rFonts w:ascii="SimSun" w:hAnsi="SimSun" w:eastAsia="SimSun" w:cs="SimSun"/>
      <w:sz w:val="28"/>
      <w:szCs w:val="28"/>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44" w:lineRule="auto"/>
      <w:ind w:firstLine="400"/>
    </w:pPr>
    <w:rPr>
      <w:rFonts w:ascii="SimSun" w:hAnsi="SimSun" w:eastAsia="SimSun" w:cs="SimSun"/>
      <w:sz w:val="28"/>
      <w:szCs w:val="28"/>
      <w:u w:val="none"/>
      <w:shd w:val="clear" w:color="auto" w:fill="auto"/>
      <w:lang w:val="zh-TW" w:eastAsia="zh-TW" w:bidi="zh-TW"/>
    </w:rPr>
  </w:style>
  <w:style w:type="character" w:customStyle="1" w:styleId="15">
    <w:name w:val="Heading #2|1_"/>
    <w:basedOn w:val="7"/>
    <w:link w:val="16"/>
    <w:qFormat/>
    <w:uiPriority w:val="0"/>
    <w:rPr>
      <w:rFonts w:ascii="SimSun" w:hAnsi="SimSun" w:eastAsia="SimSun" w:cs="SimSun"/>
      <w:sz w:val="40"/>
      <w:szCs w:val="40"/>
      <w:u w:val="none"/>
      <w:shd w:val="clear" w:color="auto" w:fill="auto"/>
      <w:lang w:val="zh-TW" w:eastAsia="zh-TW" w:bidi="zh-TW"/>
    </w:rPr>
  </w:style>
  <w:style w:type="paragraph" w:customStyle="1" w:styleId="16">
    <w:name w:val="Heading #2|1"/>
    <w:basedOn w:val="1"/>
    <w:link w:val="15"/>
    <w:qFormat/>
    <w:uiPriority w:val="0"/>
    <w:pPr>
      <w:widowControl w:val="0"/>
      <w:shd w:val="clear" w:color="auto" w:fill="auto"/>
      <w:spacing w:after="180" w:line="702" w:lineRule="exact"/>
      <w:jc w:val="center"/>
      <w:outlineLvl w:val="1"/>
    </w:pPr>
    <w:rPr>
      <w:rFonts w:ascii="SimSun" w:hAnsi="SimSun" w:eastAsia="SimSun" w:cs="SimSun"/>
      <w:sz w:val="40"/>
      <w:szCs w:val="40"/>
      <w:u w:val="none"/>
      <w:shd w:val="clear" w:color="auto" w:fill="auto"/>
      <w:lang w:val="zh-TW" w:eastAsia="zh-TW" w:bidi="zh-TW"/>
    </w:rPr>
  </w:style>
  <w:style w:type="character" w:customStyle="1" w:styleId="17">
    <w:name w:val="Heading #3|1_"/>
    <w:basedOn w:val="7"/>
    <w:link w:val="18"/>
    <w:qFormat/>
    <w:uiPriority w:val="0"/>
    <w:rPr>
      <w:rFonts w:ascii="SimSun" w:hAnsi="SimSun" w:eastAsia="SimSun" w:cs="SimSun"/>
      <w:sz w:val="30"/>
      <w:szCs w:val="30"/>
      <w:u w:val="none"/>
      <w:shd w:val="clear" w:color="auto" w:fill="auto"/>
    </w:rPr>
  </w:style>
  <w:style w:type="paragraph" w:customStyle="1" w:styleId="18">
    <w:name w:val="Heading #3|1"/>
    <w:basedOn w:val="1"/>
    <w:link w:val="17"/>
    <w:qFormat/>
    <w:uiPriority w:val="0"/>
    <w:pPr>
      <w:widowControl w:val="0"/>
      <w:shd w:val="clear" w:color="auto" w:fill="auto"/>
      <w:spacing w:after="240"/>
      <w:ind w:left="1420"/>
      <w:outlineLvl w:val="2"/>
    </w:pPr>
    <w:rPr>
      <w:rFonts w:ascii="SimSun" w:hAnsi="SimSun" w:eastAsia="SimSun" w:cs="SimSun"/>
      <w:sz w:val="30"/>
      <w:szCs w:val="30"/>
      <w:u w:val="none"/>
      <w:shd w:val="clear" w:color="auto" w:fill="auto"/>
    </w:rPr>
  </w:style>
  <w:style w:type="character" w:customStyle="1" w:styleId="19">
    <w:name w:val="Header or footer|1_"/>
    <w:basedOn w:val="7"/>
    <w:link w:val="20"/>
    <w:qFormat/>
    <w:uiPriority w:val="0"/>
    <w:rPr>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u w:val="none"/>
      <w:shd w:val="clear" w:color="auto" w:fill="auto"/>
      <w:lang w:val="zh-TW" w:eastAsia="zh-TW" w:bidi="zh-TW"/>
    </w:rPr>
  </w:style>
  <w:style w:type="character" w:customStyle="1" w:styleId="21">
    <w:name w:val="Body text|2_"/>
    <w:basedOn w:val="7"/>
    <w:link w:val="22"/>
    <w:qFormat/>
    <w:uiPriority w:val="0"/>
    <w:rPr>
      <w:rFonts w:ascii="SimSun" w:hAnsi="SimSun" w:eastAsia="SimSun" w:cs="SimSun"/>
      <w:u w:val="none"/>
      <w:shd w:val="clear" w:color="auto" w:fill="auto"/>
      <w:lang w:val="zh-TW" w:eastAsia="zh-TW" w:bidi="zh-TW"/>
    </w:rPr>
  </w:style>
  <w:style w:type="paragraph" w:customStyle="1" w:styleId="22">
    <w:name w:val="Body text|2"/>
    <w:basedOn w:val="1"/>
    <w:link w:val="21"/>
    <w:qFormat/>
    <w:uiPriority w:val="0"/>
    <w:pPr>
      <w:widowControl w:val="0"/>
      <w:shd w:val="clear" w:color="auto" w:fill="auto"/>
      <w:spacing w:line="576" w:lineRule="exact"/>
      <w:ind w:firstLine="620"/>
    </w:pPr>
    <w:rPr>
      <w:rFonts w:ascii="SimSun" w:hAnsi="SimSun" w:eastAsia="SimSun" w:cs="SimSun"/>
      <w:u w:val="none"/>
      <w:shd w:val="clear" w:color="auto" w:fill="auto"/>
      <w:lang w:val="zh-TW" w:eastAsia="zh-TW" w:bidi="zh-TW"/>
    </w:rPr>
  </w:style>
  <w:style w:type="character" w:customStyle="1" w:styleId="23">
    <w:name w:val="Other|1_"/>
    <w:basedOn w:val="7"/>
    <w:link w:val="24"/>
    <w:qFormat/>
    <w:uiPriority w:val="0"/>
    <w:rPr>
      <w:rFonts w:ascii="SimSun" w:hAnsi="SimSun" w:eastAsia="SimSun" w:cs="SimSun"/>
      <w:sz w:val="28"/>
      <w:szCs w:val="28"/>
      <w:u w:val="none"/>
      <w:shd w:val="clear" w:color="auto" w:fill="auto"/>
      <w:lang w:val="zh-TW" w:eastAsia="zh-TW" w:bidi="zh-TW"/>
    </w:rPr>
  </w:style>
  <w:style w:type="paragraph" w:customStyle="1" w:styleId="24">
    <w:name w:val="Other|1"/>
    <w:basedOn w:val="1"/>
    <w:link w:val="23"/>
    <w:qFormat/>
    <w:uiPriority w:val="0"/>
    <w:pPr>
      <w:widowControl w:val="0"/>
      <w:shd w:val="clear" w:color="auto" w:fill="auto"/>
      <w:spacing w:line="444" w:lineRule="auto"/>
      <w:ind w:firstLine="400"/>
    </w:pPr>
    <w:rPr>
      <w:rFonts w:ascii="SimSun" w:hAnsi="SimSun" w:eastAsia="SimSun" w:cs="SimSun"/>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93</TotalTime>
  <ScaleCrop>false</ScaleCrop>
  <LinksUpToDate>false</LinksUpToDate>
  <Application>WPS Office_11.8.2.10953_F1E327BC-269C-435d-A152-05C5408002CA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2022-01-25T07:46:00Z</dcterms:created>
  <dc:creator>user</dc:creator>
  <cp:lastModifiedBy>user</cp:lastModifiedBy>
  <cp:lastPrinted>2022-12-02T01:22:00Z</cp:lastPrinted>
  <dcterms:modified xsi:type="dcterms:W3CDTF">2023-01-12T15:15:12Z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